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E9B1" w14:textId="335745D8" w:rsidR="00E217A4" w:rsidRPr="007E23B9" w:rsidRDefault="00AC58F1" w:rsidP="00864029">
      <w:pPr>
        <w:ind w:left="1440" w:hanging="144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4029">
        <w:rPr>
          <w:rFonts w:ascii="Arial" w:hAnsi="Arial" w:cs="Arial"/>
        </w:rPr>
        <w:t>May 13, 2022</w:t>
      </w:r>
      <w:r w:rsidR="00075A3D">
        <w:rPr>
          <w:rFonts w:ascii="Arial" w:hAnsi="Arial" w:cs="Arial"/>
        </w:rPr>
        <w:t xml:space="preserve"> </w:t>
      </w:r>
    </w:p>
    <w:p w14:paraId="27BC6D52" w14:textId="77777777" w:rsidR="00AC58F1" w:rsidRPr="007E23B9" w:rsidRDefault="00AC58F1" w:rsidP="00D74EFC">
      <w:pPr>
        <w:jc w:val="both"/>
        <w:rPr>
          <w:rFonts w:ascii="Arial" w:hAnsi="Arial" w:cs="Arial"/>
        </w:rPr>
      </w:pPr>
    </w:p>
    <w:p w14:paraId="54F19F5E" w14:textId="77777777" w:rsidR="00607875" w:rsidRPr="007E23B9" w:rsidRDefault="00607875" w:rsidP="00D74EFC">
      <w:pPr>
        <w:ind w:left="1440" w:hanging="1440"/>
        <w:jc w:val="both"/>
        <w:rPr>
          <w:rFonts w:ascii="Arial" w:hAnsi="Arial" w:cs="Arial"/>
        </w:rPr>
      </w:pPr>
    </w:p>
    <w:p w14:paraId="73D86271" w14:textId="77777777" w:rsidR="0074237E" w:rsidRPr="004B0647" w:rsidRDefault="0074237E" w:rsidP="0074237E">
      <w:pPr>
        <w:suppressAutoHyphens/>
        <w:jc w:val="both"/>
        <w:rPr>
          <w:rFonts w:ascii="Arial" w:hAnsi="Arial" w:cs="Arial"/>
          <w:i/>
          <w:iCs/>
          <w:sz w:val="20"/>
          <w:szCs w:val="20"/>
        </w:rPr>
      </w:pPr>
      <w:r w:rsidRPr="004B0647">
        <w:rPr>
          <w:rFonts w:ascii="Arial" w:hAnsi="Arial" w:cs="Arial"/>
          <w:i/>
          <w:iCs/>
          <w:sz w:val="20"/>
          <w:szCs w:val="20"/>
        </w:rPr>
        <w:t xml:space="preserve">EMTA assumes no responsibility or liability, legal or otherwise, for interpreting any Bilateral (or other) Amendment, verifying the authority of any signatory or any institution to sign Bilateral (or other) Amendment, the enforceability of the Bilateral or for any disputes that may arise among signatories to any Bilateral (or other) Amendment. Parties using the Bilateral Amendment make their own determinations (including as to any financial and legal consequences of signing an Amendment) on the foregoing matters, accept full responsibility for doing so and agree to indemnify EMTA, its agents, officers and representatives from and against any liability whatsoever in connection with its use of the Bilateral (or other) Amendment.  </w:t>
      </w:r>
    </w:p>
    <w:p w14:paraId="4F4581E9" w14:textId="77777777" w:rsidR="0074237E" w:rsidRPr="004B0647" w:rsidRDefault="0074237E" w:rsidP="0074237E">
      <w:pPr>
        <w:jc w:val="both"/>
        <w:rPr>
          <w:rFonts w:ascii="Arial" w:hAnsi="Arial" w:cs="Arial"/>
          <w:i/>
          <w:iCs/>
          <w:sz w:val="20"/>
          <w:szCs w:val="20"/>
        </w:rPr>
      </w:pPr>
    </w:p>
    <w:p w14:paraId="223D61F3" w14:textId="27E35DE7" w:rsidR="007A3F80" w:rsidRPr="007E23B9" w:rsidRDefault="007A3F80">
      <w:pPr>
        <w:jc w:val="center"/>
        <w:rPr>
          <w:rFonts w:ascii="Arial" w:hAnsi="Arial" w:cs="Arial"/>
        </w:rPr>
      </w:pPr>
    </w:p>
    <w:p w14:paraId="3071E786" w14:textId="46939FE0" w:rsidR="007A3F80" w:rsidRPr="007E23B9" w:rsidRDefault="007A3F80">
      <w:pPr>
        <w:pStyle w:val="toa"/>
        <w:tabs>
          <w:tab w:val="clear" w:pos="0"/>
          <w:tab w:val="left" w:pos="720"/>
        </w:tabs>
        <w:jc w:val="center"/>
        <w:rPr>
          <w:rFonts w:ascii="Arial" w:hAnsi="Arial" w:cs="Arial"/>
          <w:sz w:val="22"/>
          <w:szCs w:val="22"/>
        </w:rPr>
      </w:pPr>
      <w:r w:rsidRPr="007E23B9">
        <w:rPr>
          <w:rFonts w:ascii="Arial" w:hAnsi="Arial" w:cs="Arial"/>
          <w:sz w:val="22"/>
          <w:szCs w:val="22"/>
        </w:rPr>
        <w:t>FORM OF 2022 BILATERAL AMENDMENT AGREEMENT</w:t>
      </w:r>
    </w:p>
    <w:p w14:paraId="1CCBD2DA" w14:textId="3503332D" w:rsidR="007A3F80" w:rsidRPr="007E23B9" w:rsidRDefault="007A3F80">
      <w:pPr>
        <w:pStyle w:val="toa"/>
        <w:tabs>
          <w:tab w:val="clear" w:pos="0"/>
          <w:tab w:val="left" w:pos="720"/>
        </w:tabs>
        <w:jc w:val="center"/>
        <w:rPr>
          <w:rFonts w:ascii="Arial" w:hAnsi="Arial" w:cs="Arial"/>
          <w:sz w:val="22"/>
          <w:szCs w:val="22"/>
        </w:rPr>
      </w:pPr>
      <w:r w:rsidRPr="007E23B9">
        <w:rPr>
          <w:rFonts w:ascii="Arial" w:hAnsi="Arial" w:cs="Arial"/>
          <w:sz w:val="22"/>
          <w:szCs w:val="22"/>
        </w:rPr>
        <w:t xml:space="preserve">FOR </w:t>
      </w:r>
      <w:r w:rsidRPr="00D74EFC">
        <w:rPr>
          <w:rFonts w:ascii="Arial" w:hAnsi="Arial" w:cs="Arial"/>
          <w:b/>
          <w:bCs/>
          <w:sz w:val="22"/>
          <w:szCs w:val="22"/>
        </w:rPr>
        <w:t>DELIVERABLE</w:t>
      </w:r>
      <w:r w:rsidRPr="007E23B9">
        <w:rPr>
          <w:rFonts w:ascii="Arial" w:hAnsi="Arial" w:cs="Arial"/>
          <w:sz w:val="22"/>
          <w:szCs w:val="22"/>
        </w:rPr>
        <w:t xml:space="preserve"> RUBLE FX, CURRENCY OPTION AND SWAP TRANSACTIONS</w:t>
      </w:r>
    </w:p>
    <w:p w14:paraId="5264C07F" w14:textId="75781AF1" w:rsidR="007A3F80" w:rsidRPr="007E23B9" w:rsidRDefault="007A3F80" w:rsidP="007E23B9">
      <w:pPr>
        <w:pStyle w:val="BodyText2"/>
        <w:jc w:val="both"/>
        <w:rPr>
          <w:rFonts w:cs="Arial"/>
          <w:sz w:val="22"/>
          <w:szCs w:val="22"/>
        </w:rPr>
      </w:pPr>
      <w:r w:rsidRPr="007E23B9">
        <w:rPr>
          <w:rFonts w:cs="Arial"/>
          <w:sz w:val="22"/>
          <w:szCs w:val="22"/>
        </w:rPr>
        <w:br/>
      </w:r>
      <w:r w:rsidRPr="007E23B9">
        <w:rPr>
          <w:rFonts w:cs="Arial"/>
          <w:smallCaps/>
          <w:sz w:val="22"/>
          <w:szCs w:val="22"/>
        </w:rPr>
        <w:t xml:space="preserve">THIS BILATERAL AMENDMENT AGREEMENT </w:t>
      </w:r>
      <w:r w:rsidRPr="007E23B9">
        <w:rPr>
          <w:rFonts w:cs="Arial"/>
          <w:sz w:val="22"/>
          <w:szCs w:val="22"/>
        </w:rPr>
        <w:t>(this “Amendment”) dated and effective ____________, 2022 (the “Effective Date”</w:t>
      </w:r>
      <w:r w:rsidRPr="002F324F">
        <w:rPr>
          <w:rFonts w:cs="Arial"/>
          <w:sz w:val="22"/>
          <w:szCs w:val="22"/>
        </w:rPr>
        <w:t>)</w:t>
      </w:r>
      <w:r w:rsidR="0081398F" w:rsidRPr="002F324F">
        <w:rPr>
          <w:rStyle w:val="FootnoteReference"/>
          <w:rFonts w:cs="Arial"/>
          <w:sz w:val="22"/>
          <w:szCs w:val="22"/>
        </w:rPr>
        <w:footnoteReference w:id="1"/>
      </w:r>
      <w:r w:rsidRPr="00194688">
        <w:rPr>
          <w:rFonts w:cs="Arial"/>
          <w:color w:val="FF0000"/>
          <w:sz w:val="22"/>
          <w:szCs w:val="22"/>
        </w:rPr>
        <w:t xml:space="preserve"> </w:t>
      </w:r>
      <w:r w:rsidRPr="007E23B9">
        <w:rPr>
          <w:rFonts w:cs="Arial"/>
          <w:sz w:val="22"/>
          <w:szCs w:val="22"/>
        </w:rPr>
        <w:t xml:space="preserve">is by and between _______________ and _________________ (each, a “Party” and together, the “Parties”). </w:t>
      </w:r>
    </w:p>
    <w:p w14:paraId="7E39B707" w14:textId="77777777" w:rsidR="007A3F80" w:rsidRPr="007E23B9" w:rsidRDefault="007A3F80">
      <w:pPr>
        <w:tabs>
          <w:tab w:val="left" w:pos="720"/>
          <w:tab w:val="left" w:pos="1440"/>
          <w:tab w:val="left" w:pos="2880"/>
        </w:tabs>
        <w:jc w:val="both"/>
        <w:rPr>
          <w:rFonts w:ascii="Arial" w:hAnsi="Arial" w:cs="Arial"/>
        </w:rPr>
      </w:pPr>
    </w:p>
    <w:p w14:paraId="072F8128" w14:textId="6E534F9E" w:rsidR="007A3F80" w:rsidRPr="00EF6171" w:rsidRDefault="007A3F80">
      <w:pPr>
        <w:tabs>
          <w:tab w:val="left" w:pos="720"/>
          <w:tab w:val="left" w:pos="1440"/>
          <w:tab w:val="left" w:pos="2880"/>
        </w:tabs>
        <w:jc w:val="both"/>
        <w:rPr>
          <w:rFonts w:ascii="Arial" w:hAnsi="Arial" w:cs="Arial"/>
        </w:rPr>
      </w:pPr>
      <w:r w:rsidRPr="007E23B9">
        <w:rPr>
          <w:rFonts w:ascii="Arial" w:hAnsi="Arial" w:cs="Arial"/>
        </w:rPr>
        <w:tab/>
        <w:t xml:space="preserve">WHEREAS, pursuant to </w:t>
      </w:r>
      <w:r w:rsidRPr="007E23B9">
        <w:rPr>
          <w:rFonts w:ascii="Arial" w:hAnsi="Arial" w:cs="Arial"/>
          <w:bCs/>
          <w:i/>
          <w:iCs/>
        </w:rPr>
        <w:t>Recommended FX and Currency Derivatives Market Practice No. 98 on Updated Template Terms for RUB Non-Deliverable FX Forward, Currency Option and Cross Currency FX Transactions dated April</w:t>
      </w:r>
      <w:r w:rsidR="00991411" w:rsidRPr="007E23B9">
        <w:rPr>
          <w:rFonts w:ascii="Arial" w:hAnsi="Arial" w:cs="Arial"/>
          <w:bCs/>
          <w:i/>
          <w:iCs/>
        </w:rPr>
        <w:t xml:space="preserve"> 20, </w:t>
      </w:r>
      <w:r w:rsidRPr="007E23B9">
        <w:rPr>
          <w:rFonts w:ascii="Arial" w:hAnsi="Arial" w:cs="Arial"/>
          <w:bCs/>
          <w:i/>
          <w:iCs/>
        </w:rPr>
        <w:t>2022,</w:t>
      </w:r>
      <w:r w:rsidRPr="007E23B9">
        <w:rPr>
          <w:rFonts w:ascii="Arial" w:hAnsi="Arial" w:cs="Arial"/>
        </w:rPr>
        <w:t xml:space="preserve"> EMTA has revised and updated its recommended standard terms, effective June 6,</w:t>
      </w:r>
      <w:r w:rsidRPr="007E23B9" w:rsidDel="0094730A">
        <w:rPr>
          <w:rFonts w:ascii="Arial" w:hAnsi="Arial" w:cs="Arial"/>
        </w:rPr>
        <w:t xml:space="preserve"> </w:t>
      </w:r>
      <w:r w:rsidRPr="007E23B9">
        <w:rPr>
          <w:rFonts w:ascii="Arial" w:hAnsi="Arial" w:cs="Arial"/>
        </w:rPr>
        <w:t>2022, for Russian Ruble non-deliverable FX forward, currency option and cross currency FX transactions (the “EMTA 2022 Template Terms”</w:t>
      </w:r>
      <w:r w:rsidRPr="00EF6171">
        <w:rPr>
          <w:rFonts w:ascii="Arial" w:hAnsi="Arial" w:cs="Arial"/>
        </w:rPr>
        <w:t>)</w:t>
      </w:r>
      <w:r w:rsidR="002F7837" w:rsidRPr="00EF6171">
        <w:rPr>
          <w:rFonts w:ascii="Arial" w:hAnsi="Arial" w:cs="Arial"/>
        </w:rPr>
        <w:t xml:space="preserve">; </w:t>
      </w:r>
    </w:p>
    <w:p w14:paraId="447A8784" w14:textId="77777777" w:rsidR="007A3F80" w:rsidRPr="00EF6171" w:rsidRDefault="007A3F80">
      <w:pPr>
        <w:tabs>
          <w:tab w:val="left" w:pos="720"/>
          <w:tab w:val="left" w:pos="1440"/>
          <w:tab w:val="left" w:pos="2880"/>
        </w:tabs>
        <w:jc w:val="both"/>
        <w:rPr>
          <w:rFonts w:ascii="Arial" w:hAnsi="Arial" w:cs="Arial"/>
        </w:rPr>
      </w:pPr>
      <w:r w:rsidRPr="00EF6171">
        <w:rPr>
          <w:rFonts w:ascii="Arial" w:hAnsi="Arial" w:cs="Arial"/>
        </w:rPr>
        <w:tab/>
      </w:r>
    </w:p>
    <w:p w14:paraId="2BAD9E55" w14:textId="5CD2B7DA" w:rsidR="007A3F80" w:rsidRPr="007E23B9" w:rsidRDefault="007A3F80">
      <w:pPr>
        <w:tabs>
          <w:tab w:val="left" w:pos="720"/>
          <w:tab w:val="left" w:pos="1440"/>
          <w:tab w:val="left" w:pos="2880"/>
        </w:tabs>
        <w:jc w:val="both"/>
        <w:rPr>
          <w:rFonts w:ascii="Arial" w:hAnsi="Arial" w:cs="Arial"/>
        </w:rPr>
      </w:pPr>
      <w:r w:rsidRPr="007E23B9">
        <w:rPr>
          <w:rFonts w:ascii="Arial" w:hAnsi="Arial" w:cs="Arial"/>
        </w:rPr>
        <w:tab/>
        <w:t>WHEREAS, the Parties have previously entered</w:t>
      </w:r>
      <w:r w:rsidR="00267D38" w:rsidRPr="007E23B9">
        <w:rPr>
          <w:rFonts w:ascii="Arial" w:hAnsi="Arial" w:cs="Arial"/>
        </w:rPr>
        <w:t xml:space="preserve"> </w:t>
      </w:r>
      <w:r w:rsidRPr="007E23B9">
        <w:rPr>
          <w:rFonts w:ascii="Arial" w:hAnsi="Arial" w:cs="Arial"/>
        </w:rPr>
        <w:t xml:space="preserve">into certain transactions that are outstanding on the Effective Date that may include </w:t>
      </w:r>
    </w:p>
    <w:p w14:paraId="3E9FF261" w14:textId="77777777" w:rsidR="007A3F80" w:rsidRPr="007E23B9" w:rsidRDefault="007A3F80">
      <w:pPr>
        <w:tabs>
          <w:tab w:val="left" w:pos="720"/>
          <w:tab w:val="left" w:pos="1440"/>
          <w:tab w:val="left" w:pos="2880"/>
        </w:tabs>
        <w:jc w:val="both"/>
        <w:rPr>
          <w:rFonts w:ascii="Arial" w:hAnsi="Arial" w:cs="Arial"/>
        </w:rPr>
      </w:pPr>
    </w:p>
    <w:p w14:paraId="5DAEFAE8" w14:textId="637C67D2" w:rsidR="00373B2D" w:rsidRDefault="00E95A3A" w:rsidP="000B2103">
      <w:pPr>
        <w:pStyle w:val="ListParagraph"/>
        <w:numPr>
          <w:ilvl w:val="0"/>
          <w:numId w:val="6"/>
        </w:numPr>
        <w:tabs>
          <w:tab w:val="left" w:pos="720"/>
          <w:tab w:val="left" w:pos="1260"/>
          <w:tab w:val="left" w:pos="1440"/>
          <w:tab w:val="left" w:pos="2880"/>
        </w:tabs>
        <w:ind w:left="1260" w:hanging="540"/>
        <w:jc w:val="both"/>
        <w:rPr>
          <w:rFonts w:ascii="Arial" w:hAnsi="Arial" w:cs="Arial"/>
        </w:rPr>
      </w:pPr>
      <w:r w:rsidRPr="00373B2D">
        <w:rPr>
          <w:rFonts w:ascii="Arial" w:hAnsi="Arial" w:cs="Arial"/>
        </w:rPr>
        <w:t>d</w:t>
      </w:r>
      <w:r w:rsidR="007A3F80" w:rsidRPr="00373B2D">
        <w:rPr>
          <w:rFonts w:ascii="Arial" w:hAnsi="Arial" w:cs="Arial"/>
        </w:rPr>
        <w:t>eliverable FX forward, deliverable currency option, deliverable cross-currency FX</w:t>
      </w:r>
      <w:r w:rsidR="00373B2D" w:rsidRPr="00373B2D">
        <w:rPr>
          <w:rFonts w:ascii="Arial" w:hAnsi="Arial" w:cs="Arial"/>
        </w:rPr>
        <w:t xml:space="preserve"> </w:t>
      </w:r>
      <w:r w:rsidR="007A3F80" w:rsidRPr="00373B2D">
        <w:rPr>
          <w:rFonts w:ascii="Arial" w:hAnsi="Arial" w:cs="Arial"/>
        </w:rPr>
        <w:t xml:space="preserve">forward and deliverable cross-currency currency option transactions that have been amended pursuant to the terms of the </w:t>
      </w:r>
      <w:r w:rsidR="007A3F80" w:rsidRPr="00373B2D">
        <w:rPr>
          <w:rFonts w:ascii="Arial" w:hAnsi="Arial" w:cs="Arial"/>
          <w:i/>
          <w:iCs/>
        </w:rPr>
        <w:t>ISDA</w:t>
      </w:r>
      <w:r w:rsidR="00C61B11" w:rsidRPr="00373B2D">
        <w:rPr>
          <w:rFonts w:ascii="Arial" w:hAnsi="Arial" w:cs="Arial"/>
          <w:i/>
          <w:iCs/>
        </w:rPr>
        <w:t>/</w:t>
      </w:r>
      <w:r w:rsidR="007A3F80" w:rsidRPr="00373B2D">
        <w:rPr>
          <w:rFonts w:ascii="Arial" w:hAnsi="Arial" w:cs="Arial"/>
          <w:i/>
          <w:iCs/>
        </w:rPr>
        <w:t>EMTA</w:t>
      </w:r>
      <w:r w:rsidR="007A3F80" w:rsidRPr="00373B2D">
        <w:rPr>
          <w:rFonts w:ascii="Arial" w:hAnsi="Arial" w:cs="Arial"/>
        </w:rPr>
        <w:t xml:space="preserve"> </w:t>
      </w:r>
      <w:r w:rsidR="007A3F80" w:rsidRPr="00373B2D">
        <w:rPr>
          <w:rFonts w:ascii="Arial" w:hAnsi="Arial" w:cs="Arial"/>
          <w:i/>
          <w:iCs/>
        </w:rPr>
        <w:t>2022 Amendment Agreement to Incorporate Additional Provisions for use with a Deliverable Currency Disruption Event for RUB foreign exchange transaction</w:t>
      </w:r>
      <w:r w:rsidR="00991411" w:rsidRPr="00373B2D">
        <w:rPr>
          <w:rFonts w:ascii="Arial" w:hAnsi="Arial" w:cs="Arial"/>
          <w:i/>
          <w:iCs/>
        </w:rPr>
        <w:t xml:space="preserve"> dated </w:t>
      </w:r>
      <w:r w:rsidR="002A05C6" w:rsidRPr="00373B2D">
        <w:rPr>
          <w:rFonts w:ascii="Arial" w:hAnsi="Arial" w:cs="Arial"/>
          <w:i/>
          <w:iCs/>
        </w:rPr>
        <w:t>March 2, 2022</w:t>
      </w:r>
      <w:r w:rsidR="00B57BEA" w:rsidRPr="00373B2D">
        <w:rPr>
          <w:rFonts w:ascii="Arial" w:hAnsi="Arial" w:cs="Arial"/>
          <w:i/>
          <w:iCs/>
        </w:rPr>
        <w:t xml:space="preserve"> (the “ISDA/EMTA 2022 DCDE Letter Agreement”</w:t>
      </w:r>
      <w:r w:rsidR="002F7837" w:rsidRPr="00373B2D">
        <w:rPr>
          <w:rFonts w:ascii="Arial" w:hAnsi="Arial" w:cs="Arial"/>
          <w:i/>
          <w:iCs/>
        </w:rPr>
        <w:t>)</w:t>
      </w:r>
      <w:r w:rsidR="007A44E8" w:rsidRPr="00373B2D">
        <w:rPr>
          <w:rFonts w:ascii="Arial" w:hAnsi="Arial" w:cs="Arial"/>
          <w:i/>
          <w:iCs/>
        </w:rPr>
        <w:t xml:space="preserve"> </w:t>
      </w:r>
      <w:r w:rsidR="007A44E8" w:rsidRPr="00373B2D">
        <w:rPr>
          <w:rFonts w:ascii="Arial" w:hAnsi="Arial" w:cs="Arial"/>
        </w:rPr>
        <w:t>to allow for non-deliverable settlement of such transactions</w:t>
      </w:r>
      <w:r w:rsidR="00B57BEA" w:rsidRPr="00373B2D">
        <w:rPr>
          <w:rFonts w:ascii="Arial" w:hAnsi="Arial" w:cs="Arial"/>
        </w:rPr>
        <w:t>)</w:t>
      </w:r>
      <w:r w:rsidR="002A05C6" w:rsidRPr="00373B2D">
        <w:rPr>
          <w:rFonts w:ascii="Arial" w:hAnsi="Arial" w:cs="Arial"/>
        </w:rPr>
        <w:t xml:space="preserve">, </w:t>
      </w:r>
      <w:r w:rsidR="007A3F80" w:rsidRPr="00373B2D">
        <w:rPr>
          <w:rFonts w:ascii="Arial" w:hAnsi="Arial" w:cs="Arial"/>
        </w:rPr>
        <w:t xml:space="preserve">and/or </w:t>
      </w:r>
    </w:p>
    <w:p w14:paraId="36A7D688" w14:textId="77777777" w:rsidR="00373B2D" w:rsidRDefault="00373B2D" w:rsidP="00373B2D">
      <w:pPr>
        <w:pStyle w:val="ListParagraph"/>
        <w:tabs>
          <w:tab w:val="left" w:pos="720"/>
          <w:tab w:val="left" w:pos="1260"/>
          <w:tab w:val="left" w:pos="1440"/>
          <w:tab w:val="left" w:pos="2880"/>
        </w:tabs>
        <w:ind w:left="1260"/>
        <w:jc w:val="both"/>
        <w:rPr>
          <w:rFonts w:ascii="Arial" w:hAnsi="Arial" w:cs="Arial"/>
        </w:rPr>
      </w:pPr>
    </w:p>
    <w:p w14:paraId="5562F944" w14:textId="502224B3" w:rsidR="00373B2D" w:rsidRDefault="00E95A3A" w:rsidP="000B2103">
      <w:pPr>
        <w:pStyle w:val="ListParagraph"/>
        <w:numPr>
          <w:ilvl w:val="0"/>
          <w:numId w:val="6"/>
        </w:numPr>
        <w:tabs>
          <w:tab w:val="left" w:pos="720"/>
          <w:tab w:val="left" w:pos="1260"/>
          <w:tab w:val="left" w:pos="1440"/>
          <w:tab w:val="left" w:pos="2880"/>
        </w:tabs>
        <w:ind w:left="1260" w:hanging="540"/>
        <w:jc w:val="both"/>
        <w:rPr>
          <w:rFonts w:ascii="Arial" w:hAnsi="Arial" w:cs="Arial"/>
        </w:rPr>
      </w:pPr>
      <w:r w:rsidRPr="00373B2D">
        <w:rPr>
          <w:rFonts w:ascii="Arial" w:hAnsi="Arial" w:cs="Arial"/>
        </w:rPr>
        <w:t>d</w:t>
      </w:r>
      <w:r w:rsidR="00A8112B" w:rsidRPr="00373B2D">
        <w:rPr>
          <w:rFonts w:ascii="Arial" w:hAnsi="Arial" w:cs="Arial"/>
        </w:rPr>
        <w:t xml:space="preserve">eliverable </w:t>
      </w:r>
      <w:r w:rsidR="007A3F80" w:rsidRPr="00373B2D">
        <w:rPr>
          <w:rFonts w:ascii="Arial" w:hAnsi="Arial" w:cs="Arial"/>
        </w:rPr>
        <w:t xml:space="preserve">cross-currency swap and deliverable interest rate swap transactions involving Russian Ruble payments that incorporate </w:t>
      </w:r>
      <w:r w:rsidR="002F7837" w:rsidRPr="00373B2D">
        <w:rPr>
          <w:rFonts w:ascii="Arial" w:hAnsi="Arial" w:cs="Arial"/>
        </w:rPr>
        <w:t xml:space="preserve">the </w:t>
      </w:r>
      <w:r w:rsidR="00991411" w:rsidRPr="00373B2D">
        <w:rPr>
          <w:rFonts w:ascii="Arial" w:hAnsi="Arial" w:cs="Arial"/>
        </w:rPr>
        <w:t xml:space="preserve">settlement rate option, </w:t>
      </w:r>
      <w:r w:rsidR="007A3F80" w:rsidRPr="00373B2D">
        <w:rPr>
          <w:rFonts w:ascii="Arial" w:hAnsi="Arial" w:cs="Arial"/>
        </w:rPr>
        <w:t xml:space="preserve">fallback and </w:t>
      </w:r>
      <w:r w:rsidR="00991411" w:rsidRPr="00373B2D">
        <w:rPr>
          <w:rFonts w:ascii="Arial" w:hAnsi="Arial" w:cs="Arial"/>
        </w:rPr>
        <w:t xml:space="preserve">various </w:t>
      </w:r>
      <w:r w:rsidR="00A8112B" w:rsidRPr="00373B2D">
        <w:rPr>
          <w:rFonts w:ascii="Arial" w:hAnsi="Arial" w:cs="Arial"/>
        </w:rPr>
        <w:t xml:space="preserve">other </w:t>
      </w:r>
      <w:r w:rsidR="007A3F80" w:rsidRPr="00373B2D">
        <w:rPr>
          <w:rFonts w:ascii="Arial" w:hAnsi="Arial" w:cs="Arial"/>
        </w:rPr>
        <w:t>provisions included in (</w:t>
      </w:r>
      <w:r w:rsidR="00B57BEA" w:rsidRPr="00373B2D">
        <w:rPr>
          <w:rFonts w:ascii="Arial" w:hAnsi="Arial" w:cs="Arial"/>
        </w:rPr>
        <w:t>x</w:t>
      </w:r>
      <w:r w:rsidR="007A3F80" w:rsidRPr="00373B2D">
        <w:rPr>
          <w:rFonts w:ascii="Arial" w:hAnsi="Arial" w:cs="Arial"/>
        </w:rPr>
        <w:t xml:space="preserve">) the </w:t>
      </w:r>
      <w:r w:rsidR="007A3F80" w:rsidRPr="00373B2D">
        <w:rPr>
          <w:rFonts w:ascii="Arial" w:hAnsi="Arial" w:cs="Arial"/>
          <w:i/>
          <w:iCs/>
        </w:rPr>
        <w:t xml:space="preserve">Additional Provisions for use with Deliverable Currency Disruption Events (dated as of 3 November 2008) </w:t>
      </w:r>
      <w:r w:rsidR="00C61B11" w:rsidRPr="00373B2D">
        <w:rPr>
          <w:rFonts w:ascii="Arial" w:hAnsi="Arial" w:cs="Arial"/>
          <w:i/>
          <w:iCs/>
        </w:rPr>
        <w:t xml:space="preserve">(the “2008 Additional Provisions”) </w:t>
      </w:r>
      <w:r w:rsidR="007A3F80" w:rsidRPr="00373B2D">
        <w:rPr>
          <w:rFonts w:ascii="Arial" w:hAnsi="Arial" w:cs="Arial"/>
          <w:i/>
          <w:iCs/>
        </w:rPr>
        <w:t>or (</w:t>
      </w:r>
      <w:r w:rsidR="00B57BEA" w:rsidRPr="00373B2D">
        <w:rPr>
          <w:rFonts w:ascii="Arial" w:hAnsi="Arial" w:cs="Arial"/>
          <w:i/>
          <w:iCs/>
        </w:rPr>
        <w:t>y</w:t>
      </w:r>
      <w:r w:rsidR="007A3F80" w:rsidRPr="00373B2D">
        <w:rPr>
          <w:rFonts w:ascii="Arial" w:hAnsi="Arial" w:cs="Arial"/>
          <w:i/>
          <w:iCs/>
        </w:rPr>
        <w:t>) the Additional Provisions for use with Deliverable Currency Disruption Events (2021 Definitions) (dated as of 30 December 2021)</w:t>
      </w:r>
      <w:r w:rsidR="00C61B11" w:rsidRPr="00373B2D">
        <w:rPr>
          <w:rFonts w:ascii="Arial" w:hAnsi="Arial" w:cs="Arial"/>
          <w:i/>
          <w:iCs/>
        </w:rPr>
        <w:t xml:space="preserve"> (the</w:t>
      </w:r>
      <w:r w:rsidR="00267D38" w:rsidRPr="00373B2D">
        <w:rPr>
          <w:rFonts w:ascii="Arial" w:hAnsi="Arial" w:cs="Arial"/>
          <w:i/>
          <w:iCs/>
        </w:rPr>
        <w:t xml:space="preserve"> ”</w:t>
      </w:r>
      <w:r w:rsidR="00C61B11" w:rsidRPr="00373B2D">
        <w:rPr>
          <w:rFonts w:ascii="Arial" w:hAnsi="Arial" w:cs="Arial"/>
          <w:i/>
          <w:iCs/>
        </w:rPr>
        <w:t>2021 Additional Provisions”)</w:t>
      </w:r>
      <w:r w:rsidR="007A3F80" w:rsidRPr="00373B2D">
        <w:rPr>
          <w:rFonts w:ascii="Arial" w:hAnsi="Arial" w:cs="Arial"/>
          <w:i/>
          <w:iCs/>
        </w:rPr>
        <w:t xml:space="preserve">, </w:t>
      </w:r>
      <w:r w:rsidR="007A3F80" w:rsidRPr="00373B2D">
        <w:rPr>
          <w:rFonts w:ascii="Arial" w:hAnsi="Arial" w:cs="Arial"/>
        </w:rPr>
        <w:t>each</w:t>
      </w:r>
      <w:r w:rsidR="007A3F80" w:rsidRPr="00373B2D">
        <w:rPr>
          <w:rFonts w:ascii="Arial" w:hAnsi="Arial" w:cs="Arial"/>
          <w:i/>
          <w:iCs/>
        </w:rPr>
        <w:t xml:space="preserve"> </w:t>
      </w:r>
      <w:r w:rsidR="007A3F80" w:rsidRPr="00373B2D">
        <w:rPr>
          <w:rFonts w:ascii="Arial" w:hAnsi="Arial" w:cs="Arial"/>
        </w:rPr>
        <w:t>as</w:t>
      </w:r>
      <w:r w:rsidR="007A3F80" w:rsidRPr="00373B2D">
        <w:rPr>
          <w:rFonts w:ascii="Arial" w:hAnsi="Arial" w:cs="Arial"/>
          <w:i/>
          <w:iCs/>
        </w:rPr>
        <w:t xml:space="preserve"> </w:t>
      </w:r>
      <w:r w:rsidR="007A3F80" w:rsidRPr="00373B2D">
        <w:rPr>
          <w:rFonts w:ascii="Arial" w:hAnsi="Arial" w:cs="Arial"/>
        </w:rPr>
        <w:t>published by the International Swaps and Derivatives Association, Inc. (ISDA</w:t>
      </w:r>
      <w:r w:rsidR="00E168DB" w:rsidRPr="00373B2D">
        <w:rPr>
          <w:rFonts w:ascii="Arial" w:hAnsi="Arial" w:cs="Arial"/>
        </w:rPr>
        <w:t>)</w:t>
      </w:r>
      <w:r w:rsidR="002F7837" w:rsidRPr="00373B2D">
        <w:rPr>
          <w:rFonts w:ascii="Arial" w:hAnsi="Arial" w:cs="Arial"/>
        </w:rPr>
        <w:t>,</w:t>
      </w:r>
      <w:r w:rsidR="00EF6171">
        <w:rPr>
          <w:rFonts w:ascii="Arial" w:hAnsi="Arial" w:cs="Arial"/>
        </w:rPr>
        <w:t xml:space="preserve"> </w:t>
      </w:r>
      <w:r w:rsidR="007A44E8" w:rsidRPr="00373B2D">
        <w:rPr>
          <w:rFonts w:ascii="Arial" w:hAnsi="Arial" w:cs="Arial"/>
        </w:rPr>
        <w:t>to allow for non-deliverable settlement of such transactions</w:t>
      </w:r>
      <w:r w:rsidR="003B445F" w:rsidRPr="00373B2D">
        <w:rPr>
          <w:rFonts w:ascii="Arial" w:hAnsi="Arial" w:cs="Arial"/>
        </w:rPr>
        <w:t xml:space="preserve">, </w:t>
      </w:r>
      <w:r w:rsidR="007A3F80" w:rsidRPr="00373B2D">
        <w:rPr>
          <w:rFonts w:ascii="Arial" w:hAnsi="Arial" w:cs="Arial"/>
        </w:rPr>
        <w:t xml:space="preserve">and </w:t>
      </w:r>
    </w:p>
    <w:p w14:paraId="3FEB8FFF" w14:textId="51018E87" w:rsidR="007A3F80" w:rsidRPr="007E23B9" w:rsidRDefault="007A3F80" w:rsidP="00373B2D">
      <w:pPr>
        <w:tabs>
          <w:tab w:val="left" w:pos="720"/>
          <w:tab w:val="left" w:pos="1080"/>
          <w:tab w:val="left" w:pos="2880"/>
        </w:tabs>
        <w:jc w:val="both"/>
        <w:rPr>
          <w:rFonts w:ascii="Arial" w:hAnsi="Arial" w:cs="Arial"/>
          <w:i/>
          <w:iCs/>
        </w:rPr>
      </w:pPr>
    </w:p>
    <w:p w14:paraId="4AFFFA42" w14:textId="646D5222" w:rsidR="007A3F80" w:rsidRPr="00CF7B03" w:rsidRDefault="00373B2D" w:rsidP="00373B2D">
      <w:pPr>
        <w:tabs>
          <w:tab w:val="left" w:pos="720"/>
          <w:tab w:val="left" w:pos="1440"/>
          <w:tab w:val="left" w:pos="2880"/>
        </w:tabs>
        <w:jc w:val="both"/>
        <w:rPr>
          <w:rFonts w:ascii="Arial" w:hAnsi="Arial" w:cs="Arial"/>
        </w:rPr>
      </w:pPr>
      <w:r>
        <w:rPr>
          <w:rFonts w:ascii="Arial" w:hAnsi="Arial" w:cs="Arial"/>
        </w:rPr>
        <w:tab/>
      </w:r>
      <w:r w:rsidR="007A3F80" w:rsidRPr="00CF7B03">
        <w:rPr>
          <w:rFonts w:ascii="Arial" w:hAnsi="Arial" w:cs="Arial"/>
        </w:rPr>
        <w:t>(i) and (ii) together, being referred to herein as “Outstanding Deliverable Ruble Transactions”)</w:t>
      </w:r>
      <w:r w:rsidR="005407DE" w:rsidRPr="00CF7B03">
        <w:rPr>
          <w:rFonts w:ascii="Arial" w:hAnsi="Arial" w:cs="Arial"/>
        </w:rPr>
        <w:t>,</w:t>
      </w:r>
      <w:r w:rsidR="007A3F80" w:rsidRPr="00CF7B03">
        <w:rPr>
          <w:rFonts w:ascii="Arial" w:hAnsi="Arial" w:cs="Arial"/>
        </w:rPr>
        <w:t xml:space="preserve"> </w:t>
      </w:r>
    </w:p>
    <w:p w14:paraId="5930A0E6" w14:textId="77777777" w:rsidR="007A3F80" w:rsidRPr="00CF7B03" w:rsidRDefault="007A3F80">
      <w:pPr>
        <w:tabs>
          <w:tab w:val="left" w:pos="720"/>
          <w:tab w:val="left" w:pos="1440"/>
          <w:tab w:val="left" w:pos="2880"/>
        </w:tabs>
        <w:jc w:val="both"/>
        <w:rPr>
          <w:rFonts w:ascii="Arial" w:hAnsi="Arial" w:cs="Arial"/>
        </w:rPr>
      </w:pPr>
    </w:p>
    <w:p w14:paraId="3999791D" w14:textId="4CDF3E29" w:rsidR="007A3F80" w:rsidRPr="007E23B9" w:rsidRDefault="007A3F80">
      <w:pPr>
        <w:tabs>
          <w:tab w:val="left" w:pos="720"/>
          <w:tab w:val="left" w:pos="1440"/>
          <w:tab w:val="left" w:pos="2880"/>
        </w:tabs>
        <w:jc w:val="both"/>
        <w:rPr>
          <w:rFonts w:ascii="Arial" w:hAnsi="Arial" w:cs="Arial"/>
        </w:rPr>
      </w:pPr>
      <w:r w:rsidRPr="007E23B9">
        <w:rPr>
          <w:rFonts w:ascii="Arial" w:hAnsi="Arial" w:cs="Arial"/>
        </w:rPr>
        <w:tab/>
        <w:t>WHEREAS, the Parties now wish to amend the terms of the Outstanding Deliverable Ruble Transactions between them; and</w:t>
      </w:r>
    </w:p>
    <w:p w14:paraId="5CB69F75" w14:textId="74BB34A3" w:rsidR="007A3F80" w:rsidRPr="007E23B9" w:rsidRDefault="007A3F80">
      <w:pPr>
        <w:pStyle w:val="BodyText"/>
        <w:tabs>
          <w:tab w:val="clear" w:pos="-720"/>
          <w:tab w:val="left" w:pos="720"/>
          <w:tab w:val="left" w:pos="1440"/>
          <w:tab w:val="left" w:pos="2880"/>
        </w:tabs>
        <w:suppressAutoHyphens w:val="0"/>
        <w:rPr>
          <w:rFonts w:cs="Arial"/>
          <w:sz w:val="22"/>
          <w:szCs w:val="22"/>
        </w:rPr>
      </w:pPr>
      <w:r w:rsidRPr="007E23B9">
        <w:rPr>
          <w:rFonts w:cs="Arial"/>
          <w:sz w:val="22"/>
          <w:szCs w:val="22"/>
        </w:rPr>
        <w:t xml:space="preserve"> </w:t>
      </w:r>
    </w:p>
    <w:p w14:paraId="65102C29" w14:textId="77777777" w:rsidR="007A3F80" w:rsidRPr="007E23B9" w:rsidRDefault="007A3F80">
      <w:pPr>
        <w:pStyle w:val="BodyText"/>
        <w:tabs>
          <w:tab w:val="clear" w:pos="-720"/>
          <w:tab w:val="left" w:pos="720"/>
          <w:tab w:val="left" w:pos="1440"/>
          <w:tab w:val="left" w:pos="2880"/>
        </w:tabs>
        <w:suppressAutoHyphens w:val="0"/>
        <w:rPr>
          <w:rFonts w:cs="Arial"/>
          <w:sz w:val="22"/>
          <w:szCs w:val="22"/>
        </w:rPr>
      </w:pPr>
      <w:r w:rsidRPr="007E23B9">
        <w:rPr>
          <w:rFonts w:cs="Arial"/>
          <w:sz w:val="22"/>
          <w:szCs w:val="22"/>
        </w:rPr>
        <w:tab/>
        <w:t>NOW, THEREFORE, the Parties agree as follows:</w:t>
      </w:r>
    </w:p>
    <w:p w14:paraId="387B06DF" w14:textId="77777777" w:rsidR="007A3F80" w:rsidRPr="007E23B9" w:rsidRDefault="007A3F80">
      <w:pPr>
        <w:jc w:val="both"/>
        <w:rPr>
          <w:rFonts w:ascii="Arial" w:hAnsi="Arial" w:cs="Arial"/>
        </w:rPr>
      </w:pPr>
    </w:p>
    <w:p w14:paraId="1F296AA1" w14:textId="7D38EA40" w:rsidR="008F3A75" w:rsidRPr="007E23B9" w:rsidRDefault="007A3F80">
      <w:pPr>
        <w:ind w:firstLine="720"/>
        <w:jc w:val="both"/>
        <w:rPr>
          <w:rFonts w:ascii="Arial" w:hAnsi="Arial" w:cs="Arial"/>
        </w:rPr>
      </w:pPr>
      <w:bookmarkStart w:id="0" w:name="_Hlk101255358"/>
      <w:r w:rsidRPr="007E23B9">
        <w:rPr>
          <w:rFonts w:ascii="Arial" w:hAnsi="Arial" w:cs="Arial"/>
        </w:rPr>
        <w:t>SECTION 1.</w:t>
      </w:r>
      <w:r w:rsidRPr="007E23B9">
        <w:rPr>
          <w:rFonts w:ascii="Arial" w:hAnsi="Arial" w:cs="Arial"/>
        </w:rPr>
        <w:tab/>
      </w:r>
      <w:r w:rsidRPr="007E23B9">
        <w:rPr>
          <w:rFonts w:ascii="Arial" w:hAnsi="Arial" w:cs="Arial"/>
          <w:u w:val="single"/>
        </w:rPr>
        <w:t>Amendments</w:t>
      </w:r>
      <w:r w:rsidRPr="007E23B9">
        <w:rPr>
          <w:rFonts w:ascii="Arial" w:hAnsi="Arial" w:cs="Arial"/>
        </w:rPr>
        <w:t>.  As of the Effective Date</w:t>
      </w:r>
      <w:r w:rsidR="002F7837">
        <w:rPr>
          <w:rFonts w:ascii="Arial" w:hAnsi="Arial" w:cs="Arial"/>
        </w:rPr>
        <w:t>,</w:t>
      </w:r>
      <w:r w:rsidRPr="007E23B9">
        <w:rPr>
          <w:rFonts w:ascii="Arial" w:hAnsi="Arial" w:cs="Arial"/>
        </w:rPr>
        <w:t xml:space="preserve"> and unless otherwise agreed by the Parties, the confirmation (or other governing documentation) for each Outstanding Deliverable Ruble Transaction between the Parties is amended </w:t>
      </w:r>
      <w:r w:rsidR="008F3A75">
        <w:rPr>
          <w:rFonts w:ascii="Arial" w:hAnsi="Arial" w:cs="Arial"/>
        </w:rPr>
        <w:t xml:space="preserve">to incorporate the EMTA </w:t>
      </w:r>
      <w:r w:rsidR="002F7837">
        <w:rPr>
          <w:rFonts w:ascii="Arial" w:hAnsi="Arial" w:cs="Arial"/>
        </w:rPr>
        <w:t xml:space="preserve">2022 </w:t>
      </w:r>
      <w:r w:rsidR="008F3A75">
        <w:rPr>
          <w:rFonts w:ascii="Arial" w:hAnsi="Arial" w:cs="Arial"/>
        </w:rPr>
        <w:t xml:space="preserve">Template Terms as follows: </w:t>
      </w:r>
    </w:p>
    <w:p w14:paraId="005338C6" w14:textId="77777777" w:rsidR="007A3F80" w:rsidRPr="007E23B9" w:rsidRDefault="007A3F80" w:rsidP="00194688">
      <w:pPr>
        <w:ind w:firstLine="720"/>
        <w:jc w:val="both"/>
        <w:rPr>
          <w:rFonts w:ascii="Arial" w:hAnsi="Arial" w:cs="Arial"/>
        </w:rPr>
      </w:pPr>
    </w:p>
    <w:p w14:paraId="72434B0A" w14:textId="748D8C9F" w:rsidR="00E11038" w:rsidRPr="00E11038" w:rsidRDefault="007A3F80" w:rsidP="00E11038">
      <w:pPr>
        <w:pStyle w:val="ListParagraph"/>
        <w:numPr>
          <w:ilvl w:val="0"/>
          <w:numId w:val="7"/>
        </w:numPr>
        <w:tabs>
          <w:tab w:val="left" w:pos="1260"/>
        </w:tabs>
        <w:ind w:left="1260" w:hanging="540"/>
        <w:jc w:val="both"/>
        <w:rPr>
          <w:rFonts w:ascii="Arial" w:hAnsi="Arial" w:cs="Arial"/>
          <w:lang w:val="en-GB"/>
        </w:rPr>
      </w:pPr>
      <w:bookmarkStart w:id="1" w:name="_Hlk101195477"/>
      <w:r w:rsidRPr="00E11038">
        <w:rPr>
          <w:rFonts w:ascii="Arial" w:hAnsi="Arial" w:cs="Arial"/>
        </w:rPr>
        <w:t xml:space="preserve">to replace the designation of </w:t>
      </w:r>
      <w:r w:rsidR="00CC37AA" w:rsidRPr="00E11038">
        <w:rPr>
          <w:rFonts w:ascii="Arial" w:hAnsi="Arial" w:cs="Arial"/>
        </w:rPr>
        <w:t>“</w:t>
      </w:r>
      <w:r w:rsidRPr="00E11038">
        <w:rPr>
          <w:rFonts w:ascii="Arial" w:hAnsi="Arial" w:cs="Arial"/>
        </w:rPr>
        <w:t>RUB MOEX (RUB05)” as the Settlement Rate Option (or other similar term) for such Transactions with a reference to “WM/Refinitiv MID (WMR03)”</w:t>
      </w:r>
      <w:r w:rsidR="00CC37AA" w:rsidRPr="00E11038">
        <w:rPr>
          <w:rFonts w:ascii="Arial" w:hAnsi="Arial" w:cs="Arial"/>
        </w:rPr>
        <w:t>,</w:t>
      </w:r>
    </w:p>
    <w:p w14:paraId="7558A638" w14:textId="77777777" w:rsidR="00E11038" w:rsidRPr="00E11038" w:rsidRDefault="00E11038" w:rsidP="00E11038">
      <w:pPr>
        <w:pStyle w:val="ListParagraph"/>
        <w:tabs>
          <w:tab w:val="left" w:pos="1260"/>
        </w:tabs>
        <w:ind w:left="1260"/>
        <w:jc w:val="both"/>
        <w:rPr>
          <w:rFonts w:ascii="Arial" w:hAnsi="Arial" w:cs="Arial"/>
          <w:lang w:val="en-GB"/>
        </w:rPr>
      </w:pPr>
    </w:p>
    <w:p w14:paraId="22A6BC35" w14:textId="64EDB94A" w:rsidR="00E11038" w:rsidRDefault="007A3F80" w:rsidP="00E11038">
      <w:pPr>
        <w:pStyle w:val="ListParagraph"/>
        <w:numPr>
          <w:ilvl w:val="0"/>
          <w:numId w:val="7"/>
        </w:numPr>
        <w:tabs>
          <w:tab w:val="left" w:pos="1260"/>
        </w:tabs>
        <w:ind w:left="1260" w:hanging="540"/>
        <w:jc w:val="both"/>
        <w:rPr>
          <w:rFonts w:ascii="Arial" w:hAnsi="Arial" w:cs="Arial"/>
          <w:lang w:val="en-GB"/>
        </w:rPr>
      </w:pPr>
      <w:r w:rsidRPr="00E11038">
        <w:rPr>
          <w:rFonts w:ascii="Arial" w:hAnsi="Arial" w:cs="Arial"/>
        </w:rPr>
        <w:t>to add “RUB MOEX (RUB05)” as a Fallback Reference Price and</w:t>
      </w:r>
      <w:r w:rsidRPr="00E11038">
        <w:rPr>
          <w:rFonts w:ascii="Arial" w:hAnsi="Arial" w:cs="Arial"/>
          <w:lang w:val="en-GB"/>
        </w:rPr>
        <w:t xml:space="preserve"> to make the Fallback Reference Price the first applicable Disruption Fallback, </w:t>
      </w:r>
    </w:p>
    <w:p w14:paraId="0EEA2AF8" w14:textId="77777777" w:rsidR="00E11038" w:rsidRPr="00E11038" w:rsidRDefault="00E11038" w:rsidP="00E11038">
      <w:pPr>
        <w:tabs>
          <w:tab w:val="left" w:pos="1260"/>
        </w:tabs>
        <w:jc w:val="both"/>
        <w:rPr>
          <w:rFonts w:ascii="Arial" w:hAnsi="Arial" w:cs="Arial"/>
          <w:lang w:val="en-GB"/>
        </w:rPr>
      </w:pPr>
    </w:p>
    <w:p w14:paraId="2C6EB24C" w14:textId="512BFBFD" w:rsidR="00E11038" w:rsidRPr="00E11038" w:rsidRDefault="007A3F80" w:rsidP="00087DCC">
      <w:pPr>
        <w:pStyle w:val="ListParagraph"/>
        <w:numPr>
          <w:ilvl w:val="0"/>
          <w:numId w:val="7"/>
        </w:numPr>
        <w:tabs>
          <w:tab w:val="left" w:pos="1260"/>
        </w:tabs>
        <w:ind w:left="1260" w:hanging="540"/>
        <w:jc w:val="both"/>
        <w:rPr>
          <w:rFonts w:ascii="Arial" w:hAnsi="Arial" w:cs="Arial"/>
        </w:rPr>
      </w:pPr>
      <w:r w:rsidRPr="00E11038">
        <w:rPr>
          <w:rFonts w:ascii="Arial" w:hAnsi="Arial" w:cs="Arial"/>
          <w:lang w:val="en-GB"/>
        </w:rPr>
        <w:t>to add “WM</w:t>
      </w:r>
      <w:r w:rsidR="00B67D3B" w:rsidRPr="00E11038">
        <w:rPr>
          <w:rFonts w:ascii="Arial" w:hAnsi="Arial" w:cs="Arial"/>
          <w:lang w:val="en-GB"/>
        </w:rPr>
        <w:t>R</w:t>
      </w:r>
      <w:r w:rsidRPr="00E11038">
        <w:rPr>
          <w:rFonts w:ascii="Arial" w:hAnsi="Arial" w:cs="Arial"/>
          <w:lang w:val="en-GB"/>
        </w:rPr>
        <w:t xml:space="preserve"> Business Day” (as defined in the EMTA 2022 Template Terms) as a Business Day for Valuation Date for Settlement Rate Option,</w:t>
      </w:r>
    </w:p>
    <w:p w14:paraId="1F6F05B5" w14:textId="77777777" w:rsidR="00E11038" w:rsidRPr="00E11038" w:rsidRDefault="00E11038" w:rsidP="00E11038">
      <w:pPr>
        <w:tabs>
          <w:tab w:val="left" w:pos="1260"/>
        </w:tabs>
        <w:jc w:val="both"/>
        <w:rPr>
          <w:rFonts w:ascii="Arial" w:hAnsi="Arial" w:cs="Arial"/>
        </w:rPr>
      </w:pPr>
    </w:p>
    <w:p w14:paraId="70BC21BA" w14:textId="77777777" w:rsidR="00E11038" w:rsidRDefault="007A3F80" w:rsidP="00C86D99">
      <w:pPr>
        <w:pStyle w:val="ListParagraph"/>
        <w:numPr>
          <w:ilvl w:val="0"/>
          <w:numId w:val="7"/>
        </w:numPr>
        <w:tabs>
          <w:tab w:val="left" w:pos="1260"/>
        </w:tabs>
        <w:ind w:left="1260" w:hanging="540"/>
        <w:jc w:val="both"/>
        <w:rPr>
          <w:rFonts w:ascii="Arial" w:hAnsi="Arial" w:cs="Arial"/>
        </w:rPr>
      </w:pPr>
      <w:r w:rsidRPr="00E11038">
        <w:rPr>
          <w:rFonts w:ascii="Arial" w:hAnsi="Arial" w:cs="Arial"/>
        </w:rPr>
        <w:t>to designate Moscow as a Relevant City for Business Day for Valuation Date for Fallback Reference Price;</w:t>
      </w:r>
      <w:r w:rsidR="008F3A75" w:rsidRPr="00E11038">
        <w:rPr>
          <w:rFonts w:ascii="Arial" w:hAnsi="Arial" w:cs="Arial"/>
        </w:rPr>
        <w:t xml:space="preserve"> and </w:t>
      </w:r>
      <w:bookmarkEnd w:id="1"/>
    </w:p>
    <w:p w14:paraId="7C66D893" w14:textId="77777777" w:rsidR="00E11038" w:rsidRPr="00E11038" w:rsidRDefault="00E11038" w:rsidP="00E11038">
      <w:pPr>
        <w:pStyle w:val="ListParagraph"/>
        <w:rPr>
          <w:rFonts w:ascii="Arial" w:hAnsi="Arial" w:cs="Arial"/>
        </w:rPr>
      </w:pPr>
    </w:p>
    <w:p w14:paraId="6FD68A43" w14:textId="6E8EA0CF" w:rsidR="007A3F80" w:rsidRPr="00E11038" w:rsidRDefault="008F3A75" w:rsidP="00C86D99">
      <w:pPr>
        <w:pStyle w:val="ListParagraph"/>
        <w:numPr>
          <w:ilvl w:val="0"/>
          <w:numId w:val="7"/>
        </w:numPr>
        <w:tabs>
          <w:tab w:val="left" w:pos="1260"/>
        </w:tabs>
        <w:ind w:left="1260" w:hanging="540"/>
        <w:jc w:val="both"/>
        <w:rPr>
          <w:rFonts w:ascii="Arial" w:hAnsi="Arial" w:cs="Arial"/>
        </w:rPr>
      </w:pPr>
      <w:r w:rsidRPr="00E11038">
        <w:rPr>
          <w:rFonts w:ascii="Arial" w:hAnsi="Arial" w:cs="Arial"/>
        </w:rPr>
        <w:t>t</w:t>
      </w:r>
      <w:r w:rsidR="005407DE" w:rsidRPr="00E11038">
        <w:rPr>
          <w:rFonts w:ascii="Arial" w:hAnsi="Arial" w:cs="Arial"/>
        </w:rPr>
        <w:t>o a</w:t>
      </w:r>
      <w:r w:rsidR="007A3F80" w:rsidRPr="00E11038">
        <w:rPr>
          <w:rFonts w:ascii="Arial" w:hAnsi="Arial" w:cs="Arial"/>
        </w:rPr>
        <w:t xml:space="preserve">dd a Specified Time for the Settlement Rate Option of 10:00 am (London time). </w:t>
      </w:r>
    </w:p>
    <w:bookmarkEnd w:id="0"/>
    <w:p w14:paraId="14830CDA" w14:textId="77777777" w:rsidR="007A3F80" w:rsidRPr="007E23B9" w:rsidRDefault="007A3F80">
      <w:pPr>
        <w:jc w:val="both"/>
        <w:rPr>
          <w:rFonts w:ascii="Arial" w:hAnsi="Arial" w:cs="Arial"/>
        </w:rPr>
      </w:pPr>
    </w:p>
    <w:p w14:paraId="0290B8E0" w14:textId="77777777" w:rsidR="007A3F80" w:rsidRPr="007E23B9" w:rsidRDefault="007A3F80">
      <w:pPr>
        <w:ind w:firstLine="720"/>
        <w:jc w:val="both"/>
        <w:rPr>
          <w:rFonts w:ascii="Arial" w:hAnsi="Arial" w:cs="Arial"/>
        </w:rPr>
      </w:pPr>
      <w:r w:rsidRPr="007E23B9">
        <w:rPr>
          <w:rFonts w:ascii="Arial" w:hAnsi="Arial" w:cs="Arial"/>
        </w:rPr>
        <w:t>SECTION 2.</w:t>
      </w:r>
      <w:r w:rsidRPr="007E23B9">
        <w:rPr>
          <w:rFonts w:ascii="Arial" w:hAnsi="Arial" w:cs="Arial"/>
        </w:rPr>
        <w:tab/>
      </w:r>
      <w:r w:rsidRPr="007E23B9">
        <w:rPr>
          <w:rFonts w:ascii="Arial" w:hAnsi="Arial" w:cs="Arial"/>
          <w:u w:val="single"/>
        </w:rPr>
        <w:t>Effect of this Amendment</w:t>
      </w:r>
      <w:r w:rsidRPr="007E23B9">
        <w:rPr>
          <w:rFonts w:ascii="Arial" w:hAnsi="Arial" w:cs="Arial"/>
        </w:rPr>
        <w:t>.  By signing this Amendment, the confirmation (or other governing documentation) for each Outstanding Deliverable Ruble Transaction [listed on Annex A hereto</w:t>
      </w:r>
      <w:r w:rsidRPr="007E23B9">
        <w:rPr>
          <w:rStyle w:val="FootnoteReference"/>
          <w:rFonts w:ascii="Arial" w:hAnsi="Arial" w:cs="Arial"/>
        </w:rPr>
        <w:footnoteReference w:id="2"/>
      </w:r>
      <w:r w:rsidRPr="007E23B9">
        <w:rPr>
          <w:rFonts w:ascii="Arial" w:hAnsi="Arial" w:cs="Arial"/>
        </w:rPr>
        <w:t>] between the Parties will be deemed amended as specified in Section 1 above.  Except for the amendments specified in Section 1 above, this Amendment shall not affect any other term of the Outstanding Deliverable Ruble Transactions, all of which terms shall remain in full force and effect.</w:t>
      </w:r>
    </w:p>
    <w:p w14:paraId="05112D44" w14:textId="77777777" w:rsidR="007A3F80" w:rsidRPr="007E23B9" w:rsidRDefault="007A3F80">
      <w:pPr>
        <w:jc w:val="both"/>
        <w:rPr>
          <w:rFonts w:ascii="Arial" w:hAnsi="Arial" w:cs="Arial"/>
        </w:rPr>
      </w:pPr>
    </w:p>
    <w:p w14:paraId="7F022C8B" w14:textId="77777777" w:rsidR="007A3F80" w:rsidRPr="007E23B9" w:rsidRDefault="007A3F80">
      <w:pPr>
        <w:ind w:firstLine="720"/>
        <w:jc w:val="both"/>
        <w:rPr>
          <w:rFonts w:ascii="Arial" w:hAnsi="Arial" w:cs="Arial"/>
        </w:rPr>
      </w:pPr>
      <w:r w:rsidRPr="007E23B9">
        <w:rPr>
          <w:rFonts w:ascii="Arial" w:hAnsi="Arial" w:cs="Arial"/>
        </w:rPr>
        <w:t>SECTION 3.</w:t>
      </w:r>
      <w:r w:rsidRPr="007E23B9">
        <w:rPr>
          <w:rFonts w:ascii="Arial" w:hAnsi="Arial" w:cs="Arial"/>
        </w:rPr>
        <w:tab/>
      </w:r>
      <w:r w:rsidRPr="007E23B9">
        <w:rPr>
          <w:rFonts w:ascii="Arial" w:hAnsi="Arial" w:cs="Arial"/>
          <w:u w:val="single"/>
        </w:rPr>
        <w:t>Miscellaneous</w:t>
      </w:r>
      <w:r w:rsidRPr="007E23B9">
        <w:rPr>
          <w:rFonts w:ascii="Arial" w:hAnsi="Arial" w:cs="Arial"/>
        </w:rPr>
        <w:t>.</w:t>
      </w:r>
    </w:p>
    <w:p w14:paraId="1173D317" w14:textId="77777777" w:rsidR="007A3F80" w:rsidRPr="007E23B9" w:rsidRDefault="007A3F80">
      <w:pPr>
        <w:jc w:val="both"/>
        <w:rPr>
          <w:rFonts w:ascii="Arial" w:hAnsi="Arial" w:cs="Arial"/>
        </w:rPr>
      </w:pPr>
    </w:p>
    <w:p w14:paraId="2375D4A0" w14:textId="77777777" w:rsidR="007A3F80" w:rsidRPr="007E23B9" w:rsidRDefault="007A3F80" w:rsidP="00E11038">
      <w:pPr>
        <w:pStyle w:val="ListParagraph"/>
        <w:numPr>
          <w:ilvl w:val="0"/>
          <w:numId w:val="2"/>
        </w:numPr>
        <w:ind w:left="1260" w:hanging="540"/>
        <w:jc w:val="both"/>
        <w:rPr>
          <w:rFonts w:ascii="Arial" w:hAnsi="Arial" w:cs="Arial"/>
        </w:rPr>
      </w:pPr>
      <w:r w:rsidRPr="007E23B9">
        <w:rPr>
          <w:rFonts w:ascii="Arial" w:hAnsi="Arial" w:cs="Arial"/>
          <w:u w:val="single"/>
        </w:rPr>
        <w:t>Defined Terms</w:t>
      </w:r>
      <w:r w:rsidRPr="007E23B9">
        <w:rPr>
          <w:rFonts w:ascii="Arial" w:hAnsi="Arial" w:cs="Arial"/>
        </w:rPr>
        <w:t>.  Capitalized terms used in this Amendment and not otherwise defined herein or in the 1998 FX and Currency Option Definitions and Annex A thereto, as amended from time to time, shall have the meanings set forth in the confirmation (or other governing documentation) between the Parties for the relevant Outstanding Ruble Transaction.</w:t>
      </w:r>
    </w:p>
    <w:p w14:paraId="7A6ACB99" w14:textId="77777777" w:rsidR="007A3F80" w:rsidRPr="007E23B9" w:rsidRDefault="007A3F80" w:rsidP="00E11038">
      <w:pPr>
        <w:ind w:left="1260" w:hanging="540"/>
        <w:jc w:val="both"/>
        <w:rPr>
          <w:rFonts w:ascii="Arial" w:hAnsi="Arial" w:cs="Arial"/>
        </w:rPr>
      </w:pPr>
    </w:p>
    <w:p w14:paraId="6E11A5BD" w14:textId="77777777" w:rsidR="007A3F80" w:rsidRPr="007E23B9" w:rsidRDefault="007A3F80" w:rsidP="00E11038">
      <w:pPr>
        <w:pStyle w:val="ListParagraph"/>
        <w:keepNext/>
        <w:keepLines/>
        <w:numPr>
          <w:ilvl w:val="0"/>
          <w:numId w:val="2"/>
        </w:numPr>
        <w:tabs>
          <w:tab w:val="left" w:pos="-720"/>
        </w:tabs>
        <w:suppressAutoHyphens/>
        <w:ind w:left="1260" w:hanging="540"/>
        <w:jc w:val="both"/>
        <w:rPr>
          <w:rFonts w:ascii="Arial" w:hAnsi="Arial" w:cs="Arial"/>
        </w:rPr>
      </w:pPr>
      <w:r w:rsidRPr="007E23B9">
        <w:rPr>
          <w:rFonts w:ascii="Arial" w:hAnsi="Arial" w:cs="Arial"/>
          <w:u w:val="single"/>
        </w:rPr>
        <w:lastRenderedPageBreak/>
        <w:t>Valid, Binding and Enforceable</w:t>
      </w:r>
      <w:r w:rsidRPr="007E23B9">
        <w:rPr>
          <w:rFonts w:ascii="Arial" w:hAnsi="Arial" w:cs="Arial"/>
        </w:rPr>
        <w:t xml:space="preserve">.  Each Party represents and warrants to the other that (a) all representations and warranties made by such Party on the Trade Date of each Outstanding Deliverable Ruble Transaction are hereby confirmed in all respects as of the Effective Date and (b) this Amendment (and each Outstanding Deliverable Ruble Transaction, as amended hereby), is its legal, valid, and binding obligation, enforceable against such Party in accordance with its terms. </w:t>
      </w:r>
    </w:p>
    <w:p w14:paraId="361038ED" w14:textId="77777777" w:rsidR="007A3F80" w:rsidRPr="007E23B9" w:rsidRDefault="007A3F80" w:rsidP="00E11038">
      <w:pPr>
        <w:keepNext/>
        <w:keepLines/>
        <w:tabs>
          <w:tab w:val="left" w:pos="-720"/>
        </w:tabs>
        <w:suppressAutoHyphens/>
        <w:ind w:left="1260" w:hanging="540"/>
        <w:jc w:val="both"/>
        <w:rPr>
          <w:rFonts w:ascii="Arial" w:hAnsi="Arial" w:cs="Arial"/>
        </w:rPr>
      </w:pPr>
    </w:p>
    <w:p w14:paraId="276499EA" w14:textId="77777777" w:rsidR="007A3F80" w:rsidRPr="007E23B9" w:rsidRDefault="007A3F80" w:rsidP="00E11038">
      <w:pPr>
        <w:pStyle w:val="ListParagraph"/>
        <w:keepNext/>
        <w:keepLines/>
        <w:numPr>
          <w:ilvl w:val="0"/>
          <w:numId w:val="2"/>
        </w:numPr>
        <w:tabs>
          <w:tab w:val="left" w:pos="-720"/>
        </w:tabs>
        <w:suppressAutoHyphens/>
        <w:ind w:left="1260" w:hanging="540"/>
        <w:jc w:val="both"/>
        <w:rPr>
          <w:rFonts w:ascii="Arial" w:hAnsi="Arial" w:cs="Arial"/>
        </w:rPr>
      </w:pPr>
      <w:r w:rsidRPr="007E23B9">
        <w:rPr>
          <w:rFonts w:ascii="Arial" w:hAnsi="Arial" w:cs="Arial"/>
          <w:u w:val="single"/>
        </w:rPr>
        <w:t>Governing Law</w:t>
      </w:r>
      <w:r w:rsidRPr="007E23B9">
        <w:rPr>
          <w:rFonts w:ascii="Arial" w:hAnsi="Arial" w:cs="Arial"/>
        </w:rPr>
        <w:t xml:space="preserve">.  This Amendment (and, to the extent possible, any non-contractual terms arising out of it) shall be governed by the law governing the applicable master agreement (or equivalent thereof) previously signed between the Parties (including any deemed master agreement (or equivalent thereof) that the Parties have, or were deemed to have, entered into in relation to the Outstanding Deliverable Ruble Transactions (the “Applicable Master Agreement”) or, failing such an agreement, the laws of [New York]. </w:t>
      </w:r>
    </w:p>
    <w:p w14:paraId="59717A3A" w14:textId="77777777" w:rsidR="007A3F80" w:rsidRPr="007E23B9" w:rsidRDefault="007A3F80" w:rsidP="00E11038">
      <w:pPr>
        <w:tabs>
          <w:tab w:val="left" w:pos="-720"/>
        </w:tabs>
        <w:suppressAutoHyphens/>
        <w:ind w:left="1260" w:hanging="540"/>
        <w:jc w:val="both"/>
        <w:rPr>
          <w:rFonts w:ascii="Arial" w:hAnsi="Arial" w:cs="Arial"/>
        </w:rPr>
      </w:pPr>
    </w:p>
    <w:p w14:paraId="716AE333" w14:textId="77777777" w:rsidR="007A3F80" w:rsidRPr="007E23B9" w:rsidRDefault="007A3F80" w:rsidP="00E11038">
      <w:pPr>
        <w:pStyle w:val="ListParagraph"/>
        <w:keepNext/>
        <w:keepLines/>
        <w:numPr>
          <w:ilvl w:val="0"/>
          <w:numId w:val="2"/>
        </w:numPr>
        <w:tabs>
          <w:tab w:val="left" w:pos="-720"/>
        </w:tabs>
        <w:suppressAutoHyphens/>
        <w:ind w:left="1260" w:hanging="540"/>
        <w:jc w:val="both"/>
        <w:rPr>
          <w:rFonts w:ascii="Arial" w:hAnsi="Arial" w:cs="Arial"/>
        </w:rPr>
      </w:pPr>
      <w:r w:rsidRPr="007E23B9">
        <w:rPr>
          <w:rFonts w:ascii="Arial" w:hAnsi="Arial" w:cs="Arial"/>
          <w:u w:val="single"/>
        </w:rPr>
        <w:t>Submission to Jurisdiction</w:t>
      </w:r>
      <w:r w:rsidRPr="007E23B9">
        <w:rPr>
          <w:rFonts w:ascii="Arial" w:hAnsi="Arial" w:cs="Arial"/>
        </w:rPr>
        <w:t xml:space="preserve">.  Solely for purposes of disputes arising out of this Amendment, the Parties irrevocably agree to submit to the jurisdiction of the courts (or any alternate dispute resolution process) that the Parties shall have previously agreed to in the Applicable Master Agreement or, failing such an agreement, the courts of [New York]. </w:t>
      </w:r>
    </w:p>
    <w:p w14:paraId="2C9B1D74" w14:textId="77777777" w:rsidR="007A3F80" w:rsidRPr="007E23B9" w:rsidRDefault="007A3F80" w:rsidP="00E11038">
      <w:pPr>
        <w:tabs>
          <w:tab w:val="left" w:pos="-720"/>
        </w:tabs>
        <w:suppressAutoHyphens/>
        <w:ind w:left="1260" w:hanging="540"/>
        <w:jc w:val="both"/>
        <w:rPr>
          <w:rFonts w:ascii="Arial" w:hAnsi="Arial" w:cs="Arial"/>
        </w:rPr>
      </w:pPr>
    </w:p>
    <w:p w14:paraId="55C5C3C8" w14:textId="77777777" w:rsidR="007A3F80" w:rsidRPr="007E23B9" w:rsidRDefault="007A3F80" w:rsidP="00E11038">
      <w:pPr>
        <w:pStyle w:val="ListParagraph"/>
        <w:keepNext/>
        <w:keepLines/>
        <w:numPr>
          <w:ilvl w:val="0"/>
          <w:numId w:val="2"/>
        </w:numPr>
        <w:tabs>
          <w:tab w:val="left" w:pos="-720"/>
        </w:tabs>
        <w:suppressAutoHyphens/>
        <w:ind w:left="1260" w:hanging="540"/>
        <w:jc w:val="both"/>
        <w:rPr>
          <w:rFonts w:ascii="Arial" w:hAnsi="Arial" w:cs="Arial"/>
        </w:rPr>
      </w:pPr>
      <w:r w:rsidRPr="007E23B9">
        <w:rPr>
          <w:rFonts w:ascii="Arial" w:hAnsi="Arial" w:cs="Arial"/>
          <w:u w:val="single"/>
        </w:rPr>
        <w:t>Counterparts</w:t>
      </w:r>
      <w:r w:rsidRPr="007E23B9">
        <w:rPr>
          <w:rFonts w:ascii="Arial" w:hAnsi="Arial" w:cs="Arial"/>
        </w:rPr>
        <w:t xml:space="preserve">.  This Amendment may be executed by the Parties in separate counterparts, each of which when so executed being deemed an original hereof. </w:t>
      </w:r>
    </w:p>
    <w:p w14:paraId="1EF4A4ED" w14:textId="77777777" w:rsidR="007A3F80" w:rsidRPr="007E23B9" w:rsidRDefault="007A3F80">
      <w:pPr>
        <w:tabs>
          <w:tab w:val="left" w:pos="-720"/>
        </w:tabs>
        <w:suppressAutoHyphens/>
        <w:jc w:val="both"/>
        <w:rPr>
          <w:rFonts w:ascii="Arial" w:hAnsi="Arial" w:cs="Arial"/>
        </w:rPr>
      </w:pPr>
    </w:p>
    <w:p w14:paraId="2A67E6B3" w14:textId="77777777" w:rsidR="007A3F80" w:rsidRPr="007E23B9" w:rsidRDefault="007A3F80">
      <w:pPr>
        <w:pStyle w:val="BodyText"/>
        <w:rPr>
          <w:rFonts w:cs="Arial"/>
          <w:sz w:val="22"/>
          <w:szCs w:val="22"/>
        </w:rPr>
      </w:pPr>
      <w:r w:rsidRPr="007E23B9">
        <w:rPr>
          <w:rFonts w:cs="Arial"/>
          <w:sz w:val="22"/>
          <w:szCs w:val="22"/>
        </w:rPr>
        <w:t>IN WITNESS WHEREOF, the Parties have caused this Amendment to be executed by one or more of their duly authorized agents or officers.</w:t>
      </w:r>
    </w:p>
    <w:p w14:paraId="6F0A2941" w14:textId="77777777" w:rsidR="007A3F80" w:rsidRPr="007E23B9" w:rsidRDefault="007A3F80">
      <w:pPr>
        <w:pStyle w:val="toa"/>
        <w:tabs>
          <w:tab w:val="clear" w:pos="0"/>
          <w:tab w:val="left" w:pos="-720"/>
        </w:tabs>
        <w:jc w:val="both"/>
        <w:rPr>
          <w:rFonts w:ascii="Arial" w:hAnsi="Arial" w:cs="Arial"/>
          <w:sz w:val="22"/>
          <w:szCs w:val="22"/>
        </w:rPr>
      </w:pPr>
    </w:p>
    <w:p w14:paraId="73DDA6B6" w14:textId="77777777" w:rsidR="007A3F80" w:rsidRPr="007E23B9" w:rsidRDefault="007A3F80">
      <w:pPr>
        <w:pStyle w:val="toa"/>
        <w:tabs>
          <w:tab w:val="clear" w:pos="0"/>
          <w:tab w:val="left" w:pos="-72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24BB" w14:paraId="159BFEE3" w14:textId="77777777" w:rsidTr="00C47BB1">
        <w:tc>
          <w:tcPr>
            <w:tcW w:w="4675" w:type="dxa"/>
          </w:tcPr>
          <w:p w14:paraId="77F9B18F" w14:textId="02FC452A" w:rsidR="00CF24BB" w:rsidRPr="007E23B9" w:rsidRDefault="00CF24BB" w:rsidP="00C47BB1">
            <w:pPr>
              <w:pStyle w:val="toa"/>
              <w:tabs>
                <w:tab w:val="clear" w:pos="0"/>
                <w:tab w:val="left" w:pos="-720"/>
              </w:tabs>
              <w:jc w:val="both"/>
              <w:rPr>
                <w:rFonts w:ascii="Arial" w:hAnsi="Arial" w:cs="Arial"/>
                <w:sz w:val="22"/>
                <w:szCs w:val="22"/>
              </w:rPr>
            </w:pPr>
            <w:r w:rsidRPr="007E23B9">
              <w:rPr>
                <w:rFonts w:ascii="Arial" w:hAnsi="Arial" w:cs="Arial"/>
                <w:sz w:val="22"/>
                <w:szCs w:val="22"/>
              </w:rPr>
              <w:t>_____________________________</w:t>
            </w:r>
          </w:p>
          <w:p w14:paraId="411DA353" w14:textId="77777777" w:rsidR="00CF24BB" w:rsidRPr="007E23B9" w:rsidRDefault="00CF24BB" w:rsidP="00C47BB1">
            <w:pPr>
              <w:jc w:val="both"/>
              <w:rPr>
                <w:rFonts w:ascii="Arial" w:hAnsi="Arial" w:cs="Arial"/>
              </w:rPr>
            </w:pPr>
            <w:r w:rsidRPr="007E23B9">
              <w:rPr>
                <w:rFonts w:ascii="Arial" w:hAnsi="Arial" w:cs="Arial"/>
              </w:rPr>
              <w:t>[Name of Institution]</w:t>
            </w:r>
          </w:p>
          <w:p w14:paraId="290F820B" w14:textId="77777777" w:rsidR="00CF24BB" w:rsidRPr="007E23B9" w:rsidRDefault="00CF24BB" w:rsidP="00C47BB1">
            <w:pPr>
              <w:jc w:val="both"/>
              <w:rPr>
                <w:rFonts w:ascii="Arial" w:hAnsi="Arial" w:cs="Arial"/>
              </w:rPr>
            </w:pPr>
          </w:p>
          <w:p w14:paraId="7860EC80" w14:textId="7041427B" w:rsidR="002E1FB3" w:rsidRPr="007E23B9" w:rsidRDefault="00CF24BB" w:rsidP="002E1FB3">
            <w:pPr>
              <w:pStyle w:val="toa"/>
              <w:tabs>
                <w:tab w:val="clear" w:pos="0"/>
                <w:tab w:val="left" w:pos="-720"/>
              </w:tabs>
              <w:jc w:val="both"/>
              <w:rPr>
                <w:rFonts w:ascii="Arial" w:hAnsi="Arial" w:cs="Arial"/>
                <w:sz w:val="22"/>
                <w:szCs w:val="22"/>
              </w:rPr>
            </w:pPr>
            <w:r w:rsidRPr="007E23B9">
              <w:rPr>
                <w:rFonts w:ascii="Arial" w:hAnsi="Arial" w:cs="Arial"/>
              </w:rPr>
              <w:t xml:space="preserve">By: </w:t>
            </w:r>
            <w:r w:rsidR="002E1FB3" w:rsidRPr="007E23B9">
              <w:rPr>
                <w:rFonts w:ascii="Arial" w:hAnsi="Arial" w:cs="Arial"/>
                <w:sz w:val="22"/>
                <w:szCs w:val="22"/>
              </w:rPr>
              <w:t>__________________________</w:t>
            </w:r>
          </w:p>
          <w:p w14:paraId="409824C6" w14:textId="395DEFB9" w:rsidR="00CF24BB" w:rsidRDefault="00CF24BB" w:rsidP="00C47BB1">
            <w:pPr>
              <w:jc w:val="both"/>
              <w:rPr>
                <w:rFonts w:ascii="Arial" w:hAnsi="Arial" w:cs="Arial"/>
              </w:rPr>
            </w:pPr>
            <w:r w:rsidRPr="007E23B9">
              <w:rPr>
                <w:rFonts w:ascii="Arial" w:hAnsi="Arial" w:cs="Arial"/>
              </w:rPr>
              <w:t>Name:</w:t>
            </w:r>
          </w:p>
          <w:p w14:paraId="27C79367" w14:textId="77777777" w:rsidR="00CF24BB" w:rsidRDefault="00CF24BB" w:rsidP="00C47BB1">
            <w:pPr>
              <w:jc w:val="both"/>
              <w:rPr>
                <w:rFonts w:ascii="Arial" w:hAnsi="Arial" w:cs="Arial"/>
              </w:rPr>
            </w:pPr>
            <w:r w:rsidRPr="007E23B9">
              <w:rPr>
                <w:rFonts w:ascii="Arial" w:hAnsi="Arial" w:cs="Arial"/>
              </w:rPr>
              <w:t>Title:</w:t>
            </w:r>
          </w:p>
        </w:tc>
        <w:tc>
          <w:tcPr>
            <w:tcW w:w="4675" w:type="dxa"/>
          </w:tcPr>
          <w:p w14:paraId="2E6E973B" w14:textId="77777777" w:rsidR="00CF24BB" w:rsidRPr="007E23B9" w:rsidRDefault="00CF24BB" w:rsidP="00C47BB1">
            <w:pPr>
              <w:pStyle w:val="toa"/>
              <w:tabs>
                <w:tab w:val="clear" w:pos="0"/>
                <w:tab w:val="left" w:pos="-720"/>
              </w:tabs>
              <w:jc w:val="both"/>
              <w:rPr>
                <w:rFonts w:ascii="Arial" w:hAnsi="Arial" w:cs="Arial"/>
                <w:sz w:val="22"/>
                <w:szCs w:val="22"/>
              </w:rPr>
            </w:pPr>
            <w:r w:rsidRPr="007E23B9">
              <w:rPr>
                <w:rFonts w:ascii="Arial" w:hAnsi="Arial" w:cs="Arial"/>
                <w:sz w:val="22"/>
                <w:szCs w:val="22"/>
              </w:rPr>
              <w:t>_____________________________</w:t>
            </w:r>
          </w:p>
          <w:p w14:paraId="63AC90D7" w14:textId="77777777" w:rsidR="00CF24BB" w:rsidRPr="007E23B9" w:rsidRDefault="00CF24BB" w:rsidP="00C47BB1">
            <w:pPr>
              <w:jc w:val="both"/>
              <w:rPr>
                <w:rFonts w:ascii="Arial" w:hAnsi="Arial" w:cs="Arial"/>
              </w:rPr>
            </w:pPr>
            <w:r w:rsidRPr="007E23B9">
              <w:rPr>
                <w:rFonts w:ascii="Arial" w:hAnsi="Arial" w:cs="Arial"/>
              </w:rPr>
              <w:t>[Name of Institution]</w:t>
            </w:r>
          </w:p>
          <w:p w14:paraId="6E3D8336" w14:textId="77777777" w:rsidR="00CF24BB" w:rsidRPr="007E23B9" w:rsidRDefault="00CF24BB" w:rsidP="00C47BB1">
            <w:pPr>
              <w:jc w:val="both"/>
              <w:rPr>
                <w:rFonts w:ascii="Arial" w:hAnsi="Arial" w:cs="Arial"/>
              </w:rPr>
            </w:pPr>
          </w:p>
          <w:p w14:paraId="48DF992A" w14:textId="1AF94F08" w:rsidR="00CF24BB" w:rsidRPr="002E1FB3" w:rsidRDefault="00CF24BB" w:rsidP="002E1FB3">
            <w:pPr>
              <w:pStyle w:val="toa"/>
              <w:tabs>
                <w:tab w:val="clear" w:pos="0"/>
                <w:tab w:val="left" w:pos="-720"/>
              </w:tabs>
              <w:jc w:val="both"/>
              <w:rPr>
                <w:rFonts w:ascii="Arial" w:hAnsi="Arial" w:cs="Arial"/>
                <w:sz w:val="22"/>
                <w:szCs w:val="22"/>
              </w:rPr>
            </w:pPr>
            <w:r w:rsidRPr="007E23B9">
              <w:rPr>
                <w:rFonts w:ascii="Arial" w:hAnsi="Arial" w:cs="Arial"/>
              </w:rPr>
              <w:t xml:space="preserve">By: </w:t>
            </w:r>
            <w:r w:rsidR="002E1FB3" w:rsidRPr="007E23B9">
              <w:rPr>
                <w:rFonts w:ascii="Arial" w:hAnsi="Arial" w:cs="Arial"/>
                <w:sz w:val="22"/>
                <w:szCs w:val="22"/>
              </w:rPr>
              <w:t>__________________________</w:t>
            </w:r>
          </w:p>
          <w:p w14:paraId="4503C57C" w14:textId="77777777" w:rsidR="00CF24BB" w:rsidRPr="007E23B9" w:rsidRDefault="00CF24BB" w:rsidP="00C47BB1">
            <w:pPr>
              <w:jc w:val="both"/>
              <w:rPr>
                <w:rFonts w:ascii="Arial" w:hAnsi="Arial" w:cs="Arial"/>
              </w:rPr>
            </w:pPr>
            <w:r w:rsidRPr="007E23B9">
              <w:rPr>
                <w:rFonts w:ascii="Arial" w:hAnsi="Arial" w:cs="Arial"/>
              </w:rPr>
              <w:t>Name:</w:t>
            </w:r>
          </w:p>
          <w:p w14:paraId="3CBC0F19" w14:textId="77777777" w:rsidR="00CF24BB" w:rsidRDefault="00CF24BB" w:rsidP="00C47BB1">
            <w:pPr>
              <w:jc w:val="both"/>
              <w:rPr>
                <w:rFonts w:ascii="Arial" w:hAnsi="Arial" w:cs="Arial"/>
              </w:rPr>
            </w:pPr>
            <w:r w:rsidRPr="007E23B9">
              <w:rPr>
                <w:rFonts w:ascii="Arial" w:hAnsi="Arial" w:cs="Arial"/>
              </w:rPr>
              <w:t xml:space="preserve">Title: </w:t>
            </w:r>
          </w:p>
        </w:tc>
      </w:tr>
    </w:tbl>
    <w:p w14:paraId="6B6DE2DB" w14:textId="77777777" w:rsidR="002E1FB3" w:rsidRPr="007E23B9" w:rsidRDefault="002E1FB3" w:rsidP="00F423DC">
      <w:pPr>
        <w:spacing w:after="160" w:line="259" w:lineRule="auto"/>
        <w:rPr>
          <w:rFonts w:ascii="Arial" w:hAnsi="Arial" w:cs="Arial"/>
        </w:rPr>
      </w:pPr>
    </w:p>
    <w:sectPr w:rsidR="002E1FB3" w:rsidRPr="007E23B9" w:rsidSect="0051724E">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8F27" w14:textId="77777777" w:rsidR="007A3F80" w:rsidRDefault="007A3F80" w:rsidP="007A3F80">
      <w:r>
        <w:separator/>
      </w:r>
    </w:p>
  </w:endnote>
  <w:endnote w:type="continuationSeparator" w:id="0">
    <w:p w14:paraId="399BFE27" w14:textId="77777777" w:rsidR="007A3F80" w:rsidRDefault="007A3F80" w:rsidP="007A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736146"/>
      <w:docPartObj>
        <w:docPartGallery w:val="Page Numbers (Bottom of Page)"/>
        <w:docPartUnique/>
      </w:docPartObj>
    </w:sdtPr>
    <w:sdtEndPr>
      <w:rPr>
        <w:rFonts w:ascii="Arial" w:hAnsi="Arial" w:cs="Arial"/>
        <w:noProof/>
        <w:sz w:val="20"/>
        <w:szCs w:val="20"/>
      </w:rPr>
    </w:sdtEndPr>
    <w:sdtContent>
      <w:p w14:paraId="7E680919" w14:textId="2839D177" w:rsidR="001D1651" w:rsidRPr="0051724E" w:rsidRDefault="001D1651" w:rsidP="0051724E">
        <w:pPr>
          <w:pStyle w:val="Footer"/>
          <w:jc w:val="center"/>
          <w:rPr>
            <w:rFonts w:ascii="Arial" w:hAnsi="Arial" w:cs="Arial"/>
            <w:sz w:val="20"/>
            <w:szCs w:val="20"/>
          </w:rPr>
        </w:pPr>
        <w:r w:rsidRPr="0051724E">
          <w:rPr>
            <w:rFonts w:ascii="Arial" w:hAnsi="Arial" w:cs="Arial"/>
            <w:sz w:val="20"/>
            <w:szCs w:val="20"/>
          </w:rPr>
          <w:fldChar w:fldCharType="begin"/>
        </w:r>
        <w:r w:rsidRPr="0051724E">
          <w:rPr>
            <w:rFonts w:ascii="Arial" w:hAnsi="Arial" w:cs="Arial"/>
            <w:sz w:val="20"/>
            <w:szCs w:val="20"/>
          </w:rPr>
          <w:instrText xml:space="preserve"> PAGE   \* MERGEFORMAT </w:instrText>
        </w:r>
        <w:r w:rsidRPr="0051724E">
          <w:rPr>
            <w:rFonts w:ascii="Arial" w:hAnsi="Arial" w:cs="Arial"/>
            <w:sz w:val="20"/>
            <w:szCs w:val="20"/>
          </w:rPr>
          <w:fldChar w:fldCharType="separate"/>
        </w:r>
        <w:r w:rsidRPr="0051724E">
          <w:rPr>
            <w:rFonts w:ascii="Arial" w:hAnsi="Arial" w:cs="Arial"/>
            <w:noProof/>
            <w:sz w:val="20"/>
            <w:szCs w:val="20"/>
          </w:rPr>
          <w:t>2</w:t>
        </w:r>
        <w:r w:rsidRPr="0051724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3EDF" w14:textId="77777777" w:rsidR="007A3F80" w:rsidRDefault="007A3F80" w:rsidP="007A3F80">
      <w:r>
        <w:separator/>
      </w:r>
    </w:p>
  </w:footnote>
  <w:footnote w:type="continuationSeparator" w:id="0">
    <w:p w14:paraId="3F48FA81" w14:textId="77777777" w:rsidR="007A3F80" w:rsidRDefault="007A3F80" w:rsidP="007A3F80">
      <w:r>
        <w:continuationSeparator/>
      </w:r>
    </w:p>
  </w:footnote>
  <w:footnote w:id="1">
    <w:p w14:paraId="1BAE851E" w14:textId="3A15732A" w:rsidR="0081398F" w:rsidRPr="00194688" w:rsidRDefault="0081398F" w:rsidP="003D0E7C">
      <w:pPr>
        <w:pStyle w:val="FootnoteText"/>
        <w:tabs>
          <w:tab w:val="left" w:pos="360"/>
        </w:tabs>
        <w:ind w:left="360" w:hanging="360"/>
        <w:jc w:val="both"/>
        <w:rPr>
          <w:rFonts w:cs="Arial"/>
          <w:color w:val="FF0000"/>
        </w:rPr>
      </w:pPr>
      <w:r>
        <w:rPr>
          <w:rStyle w:val="FootnoteReference"/>
        </w:rPr>
        <w:footnoteRef/>
      </w:r>
      <w:r w:rsidR="003D0E7C">
        <w:tab/>
      </w:r>
      <w:r w:rsidRPr="002F7837">
        <w:rPr>
          <w:rFonts w:cs="Arial"/>
        </w:rPr>
        <w:t xml:space="preserve">The choice </w:t>
      </w:r>
      <w:r w:rsidR="00DE0720" w:rsidRPr="002F7837">
        <w:rPr>
          <w:rFonts w:cs="Arial"/>
        </w:rPr>
        <w:t>of</w:t>
      </w:r>
      <w:r w:rsidRPr="002F7837">
        <w:rPr>
          <w:rFonts w:cs="Arial"/>
        </w:rPr>
        <w:t xml:space="preserve"> the Effective Date for this Agreement is to be agreed by the Parties.  Some Parties may wish to use June 6, 2022 as the Effective Date </w:t>
      </w:r>
      <w:r w:rsidR="005300A7" w:rsidRPr="002F7837">
        <w:rPr>
          <w:rFonts w:cs="Arial"/>
        </w:rPr>
        <w:t xml:space="preserve">to coincide with the </w:t>
      </w:r>
      <w:r w:rsidR="00077C94">
        <w:rPr>
          <w:rFonts w:cs="Arial"/>
        </w:rPr>
        <w:t xml:space="preserve">scheduled </w:t>
      </w:r>
      <w:r w:rsidR="005300A7" w:rsidRPr="002F7837">
        <w:rPr>
          <w:rFonts w:cs="Arial"/>
        </w:rPr>
        <w:t xml:space="preserve">Effective Date of the </w:t>
      </w:r>
      <w:r w:rsidR="002F7837">
        <w:rPr>
          <w:rFonts w:cs="Arial"/>
        </w:rPr>
        <w:t xml:space="preserve">2022 </w:t>
      </w:r>
      <w:r w:rsidR="005300A7" w:rsidRPr="002F7837">
        <w:rPr>
          <w:rFonts w:cs="Arial"/>
        </w:rPr>
        <w:t xml:space="preserve">EMTA Template Terms, </w:t>
      </w:r>
      <w:r w:rsidRPr="002F7837">
        <w:rPr>
          <w:rFonts w:cs="Arial"/>
        </w:rPr>
        <w:t>and some parties may, for various reasons</w:t>
      </w:r>
      <w:r w:rsidR="00DE0720" w:rsidRPr="002F7837">
        <w:rPr>
          <w:rFonts w:cs="Arial"/>
        </w:rPr>
        <w:t>,</w:t>
      </w:r>
      <w:r w:rsidRPr="002F7837">
        <w:rPr>
          <w:rFonts w:cs="Arial"/>
        </w:rPr>
        <w:t xml:space="preserve"> </w:t>
      </w:r>
      <w:r w:rsidR="005300A7" w:rsidRPr="002F7837">
        <w:rPr>
          <w:rFonts w:cs="Arial"/>
        </w:rPr>
        <w:t xml:space="preserve">wish </w:t>
      </w:r>
      <w:r w:rsidRPr="002F7837">
        <w:rPr>
          <w:rFonts w:cs="Arial"/>
        </w:rPr>
        <w:t>to use an altern</w:t>
      </w:r>
      <w:r w:rsidR="00DE0720" w:rsidRPr="002F7837">
        <w:rPr>
          <w:rFonts w:cs="Arial"/>
        </w:rPr>
        <w:t xml:space="preserve">ate date. Should an alternate date be chosen, Parties are urged to review (and make needed changes or additions to) any provisions regarding effectiveness or </w:t>
      </w:r>
      <w:r w:rsidR="005300A7" w:rsidRPr="002F7837">
        <w:rPr>
          <w:rFonts w:cs="Arial"/>
        </w:rPr>
        <w:t xml:space="preserve">the intended </w:t>
      </w:r>
      <w:r w:rsidR="00DE0720" w:rsidRPr="002F7837">
        <w:rPr>
          <w:rFonts w:cs="Arial"/>
        </w:rPr>
        <w:t xml:space="preserve">incorporation of terms to ensure that the intent of the Parties is clearly set forth. </w:t>
      </w:r>
    </w:p>
  </w:footnote>
  <w:footnote w:id="2">
    <w:p w14:paraId="06CAC1B8" w14:textId="04EE1C05" w:rsidR="007A3F80" w:rsidRPr="0057319E" w:rsidRDefault="007A3F80" w:rsidP="003D0E7C">
      <w:pPr>
        <w:pStyle w:val="FootnoteText"/>
        <w:tabs>
          <w:tab w:val="left" w:pos="360"/>
        </w:tabs>
        <w:ind w:left="360" w:hanging="360"/>
        <w:rPr>
          <w:rFonts w:cs="Arial"/>
        </w:rPr>
      </w:pPr>
      <w:r>
        <w:rPr>
          <w:rStyle w:val="FootnoteReference"/>
        </w:rPr>
        <w:footnoteRef/>
      </w:r>
      <w:r w:rsidR="003D0E7C">
        <w:tab/>
      </w:r>
      <w:r w:rsidRPr="0057319E">
        <w:rPr>
          <w:rFonts w:cs="Arial"/>
        </w:rPr>
        <w:t xml:space="preserve">The Parties may wish to list the transactions intended to be amended by this Amendment or may wish to clarify that certain transactions are not to be amended by the Amendment.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C03"/>
    <w:multiLevelType w:val="hybridMultilevel"/>
    <w:tmpl w:val="664A91E4"/>
    <w:lvl w:ilvl="0" w:tplc="B68813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905"/>
    <w:multiLevelType w:val="hybridMultilevel"/>
    <w:tmpl w:val="8C286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3D58DF"/>
    <w:multiLevelType w:val="hybridMultilevel"/>
    <w:tmpl w:val="384AEF5C"/>
    <w:lvl w:ilvl="0" w:tplc="299226A8">
      <w:start w:val="1"/>
      <w:numFmt w:val="lowerRoman"/>
      <w:lvlText w:val="(%1)"/>
      <w:lvlJc w:val="left"/>
      <w:pPr>
        <w:ind w:left="1440" w:hanging="72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401714"/>
    <w:multiLevelType w:val="hybridMultilevel"/>
    <w:tmpl w:val="44F60B02"/>
    <w:lvl w:ilvl="0" w:tplc="687012A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E194C"/>
    <w:multiLevelType w:val="hybridMultilevel"/>
    <w:tmpl w:val="3EC8EA60"/>
    <w:lvl w:ilvl="0" w:tplc="E00AA30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E7B071D"/>
    <w:multiLevelType w:val="hybridMultilevel"/>
    <w:tmpl w:val="9140E244"/>
    <w:lvl w:ilvl="0" w:tplc="106C51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F66FED"/>
    <w:multiLevelType w:val="hybridMultilevel"/>
    <w:tmpl w:val="9D2E96EA"/>
    <w:lvl w:ilvl="0" w:tplc="D174FA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3F67B8"/>
    <w:multiLevelType w:val="hybridMultilevel"/>
    <w:tmpl w:val="C43235C2"/>
    <w:lvl w:ilvl="0" w:tplc="0028551E">
      <w:start w:val="1"/>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DD0D73"/>
    <w:multiLevelType w:val="hybridMultilevel"/>
    <w:tmpl w:val="91A02D9E"/>
    <w:lvl w:ilvl="0" w:tplc="29CCC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576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6375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706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601364">
    <w:abstractNumId w:val="3"/>
  </w:num>
  <w:num w:numId="5" w16cid:durableId="1471940070">
    <w:abstractNumId w:val="7"/>
  </w:num>
  <w:num w:numId="6" w16cid:durableId="703210740">
    <w:abstractNumId w:val="6"/>
  </w:num>
  <w:num w:numId="7" w16cid:durableId="1025129886">
    <w:abstractNumId w:val="5"/>
  </w:num>
  <w:num w:numId="8" w16cid:durableId="1810005711">
    <w:abstractNumId w:val="8"/>
  </w:num>
  <w:num w:numId="9" w16cid:durableId="138374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5C"/>
    <w:rsid w:val="00000D35"/>
    <w:rsid w:val="0001430E"/>
    <w:rsid w:val="00030045"/>
    <w:rsid w:val="00035D8A"/>
    <w:rsid w:val="00045C87"/>
    <w:rsid w:val="00063CB0"/>
    <w:rsid w:val="00075A3D"/>
    <w:rsid w:val="00077C94"/>
    <w:rsid w:val="000C20F8"/>
    <w:rsid w:val="000D3E5D"/>
    <w:rsid w:val="000D4061"/>
    <w:rsid w:val="000E4562"/>
    <w:rsid w:val="000E7911"/>
    <w:rsid w:val="001151DB"/>
    <w:rsid w:val="001175F2"/>
    <w:rsid w:val="00155A58"/>
    <w:rsid w:val="001575D2"/>
    <w:rsid w:val="001623A3"/>
    <w:rsid w:val="00171597"/>
    <w:rsid w:val="001761C7"/>
    <w:rsid w:val="00194688"/>
    <w:rsid w:val="001978BE"/>
    <w:rsid w:val="001C0C7F"/>
    <w:rsid w:val="001D1651"/>
    <w:rsid w:val="001E2983"/>
    <w:rsid w:val="001F48DB"/>
    <w:rsid w:val="00204C95"/>
    <w:rsid w:val="002137EC"/>
    <w:rsid w:val="002207EE"/>
    <w:rsid w:val="002261E3"/>
    <w:rsid w:val="00263759"/>
    <w:rsid w:val="00266208"/>
    <w:rsid w:val="00267D38"/>
    <w:rsid w:val="00276D06"/>
    <w:rsid w:val="002A05C6"/>
    <w:rsid w:val="002A73EF"/>
    <w:rsid w:val="002B0CF8"/>
    <w:rsid w:val="002C1F1A"/>
    <w:rsid w:val="002D083C"/>
    <w:rsid w:val="002D17A4"/>
    <w:rsid w:val="002D37E0"/>
    <w:rsid w:val="002E1FB3"/>
    <w:rsid w:val="002F324F"/>
    <w:rsid w:val="002F7837"/>
    <w:rsid w:val="003151B9"/>
    <w:rsid w:val="00327398"/>
    <w:rsid w:val="00336F89"/>
    <w:rsid w:val="00364B2D"/>
    <w:rsid w:val="0036558C"/>
    <w:rsid w:val="00373B2D"/>
    <w:rsid w:val="00374F56"/>
    <w:rsid w:val="00387E5B"/>
    <w:rsid w:val="0039165D"/>
    <w:rsid w:val="00393B4D"/>
    <w:rsid w:val="0039472F"/>
    <w:rsid w:val="00394A7C"/>
    <w:rsid w:val="003A2CEA"/>
    <w:rsid w:val="003A3E78"/>
    <w:rsid w:val="003B1702"/>
    <w:rsid w:val="003B445F"/>
    <w:rsid w:val="003C7783"/>
    <w:rsid w:val="003D0E7C"/>
    <w:rsid w:val="003E33AF"/>
    <w:rsid w:val="00400159"/>
    <w:rsid w:val="00405F9E"/>
    <w:rsid w:val="00425A81"/>
    <w:rsid w:val="00435D27"/>
    <w:rsid w:val="00456C29"/>
    <w:rsid w:val="004579EA"/>
    <w:rsid w:val="00480F24"/>
    <w:rsid w:val="00483437"/>
    <w:rsid w:val="004969E0"/>
    <w:rsid w:val="004A3332"/>
    <w:rsid w:val="004A61C0"/>
    <w:rsid w:val="004A78D2"/>
    <w:rsid w:val="004B0647"/>
    <w:rsid w:val="004E00E4"/>
    <w:rsid w:val="004F3751"/>
    <w:rsid w:val="00502E30"/>
    <w:rsid w:val="0051724E"/>
    <w:rsid w:val="0052100B"/>
    <w:rsid w:val="005300A7"/>
    <w:rsid w:val="005359DB"/>
    <w:rsid w:val="005407DE"/>
    <w:rsid w:val="005510E5"/>
    <w:rsid w:val="0057319E"/>
    <w:rsid w:val="00574867"/>
    <w:rsid w:val="00591131"/>
    <w:rsid w:val="005B09C0"/>
    <w:rsid w:val="005B310A"/>
    <w:rsid w:val="005B390B"/>
    <w:rsid w:val="005B54F5"/>
    <w:rsid w:val="005B73D8"/>
    <w:rsid w:val="005C4A6B"/>
    <w:rsid w:val="005C5207"/>
    <w:rsid w:val="005C7579"/>
    <w:rsid w:val="005E4A22"/>
    <w:rsid w:val="005F6B91"/>
    <w:rsid w:val="005F6C58"/>
    <w:rsid w:val="00607875"/>
    <w:rsid w:val="00623B4D"/>
    <w:rsid w:val="006249A6"/>
    <w:rsid w:val="00635FD2"/>
    <w:rsid w:val="00652608"/>
    <w:rsid w:val="0066157E"/>
    <w:rsid w:val="00691911"/>
    <w:rsid w:val="006F2169"/>
    <w:rsid w:val="00734343"/>
    <w:rsid w:val="00737CE6"/>
    <w:rsid w:val="0074237E"/>
    <w:rsid w:val="00745E57"/>
    <w:rsid w:val="00750ADE"/>
    <w:rsid w:val="00772E4F"/>
    <w:rsid w:val="007759E8"/>
    <w:rsid w:val="00775EA8"/>
    <w:rsid w:val="0078238B"/>
    <w:rsid w:val="007869D9"/>
    <w:rsid w:val="007A283E"/>
    <w:rsid w:val="007A3F80"/>
    <w:rsid w:val="007A44E8"/>
    <w:rsid w:val="007A5264"/>
    <w:rsid w:val="007B4641"/>
    <w:rsid w:val="007B51DB"/>
    <w:rsid w:val="007C2540"/>
    <w:rsid w:val="007C4970"/>
    <w:rsid w:val="007C542A"/>
    <w:rsid w:val="007E23B9"/>
    <w:rsid w:val="0081398F"/>
    <w:rsid w:val="00820174"/>
    <w:rsid w:val="008233F1"/>
    <w:rsid w:val="0082439C"/>
    <w:rsid w:val="00830B20"/>
    <w:rsid w:val="00852A4A"/>
    <w:rsid w:val="00857769"/>
    <w:rsid w:val="00864029"/>
    <w:rsid w:val="00866D0C"/>
    <w:rsid w:val="00871E38"/>
    <w:rsid w:val="008A0F1F"/>
    <w:rsid w:val="008A1688"/>
    <w:rsid w:val="008A207E"/>
    <w:rsid w:val="008A5AEE"/>
    <w:rsid w:val="008B0406"/>
    <w:rsid w:val="008C15CF"/>
    <w:rsid w:val="008D1353"/>
    <w:rsid w:val="008F20E6"/>
    <w:rsid w:val="008F2638"/>
    <w:rsid w:val="008F3A75"/>
    <w:rsid w:val="00907582"/>
    <w:rsid w:val="0091511B"/>
    <w:rsid w:val="00926651"/>
    <w:rsid w:val="00934F9A"/>
    <w:rsid w:val="00936D8E"/>
    <w:rsid w:val="009517E1"/>
    <w:rsid w:val="009534BF"/>
    <w:rsid w:val="00953F8A"/>
    <w:rsid w:val="009560E5"/>
    <w:rsid w:val="0098222F"/>
    <w:rsid w:val="00991411"/>
    <w:rsid w:val="00992902"/>
    <w:rsid w:val="00994ABB"/>
    <w:rsid w:val="009B1A57"/>
    <w:rsid w:val="009B31A3"/>
    <w:rsid w:val="009D72F5"/>
    <w:rsid w:val="009E3D86"/>
    <w:rsid w:val="009F7BC3"/>
    <w:rsid w:val="00A006B0"/>
    <w:rsid w:val="00A021BB"/>
    <w:rsid w:val="00A041CD"/>
    <w:rsid w:val="00A06FC3"/>
    <w:rsid w:val="00A20646"/>
    <w:rsid w:val="00A36533"/>
    <w:rsid w:val="00A50F71"/>
    <w:rsid w:val="00A6197E"/>
    <w:rsid w:val="00A73F86"/>
    <w:rsid w:val="00A776BB"/>
    <w:rsid w:val="00A8112B"/>
    <w:rsid w:val="00A935DB"/>
    <w:rsid w:val="00AA06B6"/>
    <w:rsid w:val="00AA62AA"/>
    <w:rsid w:val="00AC0E85"/>
    <w:rsid w:val="00AC58F1"/>
    <w:rsid w:val="00AE3D64"/>
    <w:rsid w:val="00AF7A1D"/>
    <w:rsid w:val="00B041CC"/>
    <w:rsid w:val="00B06D9C"/>
    <w:rsid w:val="00B0738B"/>
    <w:rsid w:val="00B13314"/>
    <w:rsid w:val="00B137A6"/>
    <w:rsid w:val="00B22D11"/>
    <w:rsid w:val="00B30FEE"/>
    <w:rsid w:val="00B57BEA"/>
    <w:rsid w:val="00B67D3B"/>
    <w:rsid w:val="00B75D26"/>
    <w:rsid w:val="00BB2045"/>
    <w:rsid w:val="00BB38A9"/>
    <w:rsid w:val="00BB4024"/>
    <w:rsid w:val="00BC78F2"/>
    <w:rsid w:val="00BD1528"/>
    <w:rsid w:val="00BD38C3"/>
    <w:rsid w:val="00BD555C"/>
    <w:rsid w:val="00BD6176"/>
    <w:rsid w:val="00BF186E"/>
    <w:rsid w:val="00BF3216"/>
    <w:rsid w:val="00C61B11"/>
    <w:rsid w:val="00C726BB"/>
    <w:rsid w:val="00C86880"/>
    <w:rsid w:val="00CA3922"/>
    <w:rsid w:val="00CB1835"/>
    <w:rsid w:val="00CB24FF"/>
    <w:rsid w:val="00CB3B97"/>
    <w:rsid w:val="00CC37AA"/>
    <w:rsid w:val="00CC59FF"/>
    <w:rsid w:val="00CC5DAF"/>
    <w:rsid w:val="00CF1331"/>
    <w:rsid w:val="00CF24BB"/>
    <w:rsid w:val="00CF3DC0"/>
    <w:rsid w:val="00CF6B7F"/>
    <w:rsid w:val="00CF7B03"/>
    <w:rsid w:val="00D24B5A"/>
    <w:rsid w:val="00D43E97"/>
    <w:rsid w:val="00D444E0"/>
    <w:rsid w:val="00D44502"/>
    <w:rsid w:val="00D44F61"/>
    <w:rsid w:val="00D5202F"/>
    <w:rsid w:val="00D52143"/>
    <w:rsid w:val="00D672AC"/>
    <w:rsid w:val="00D67B2C"/>
    <w:rsid w:val="00D74EFC"/>
    <w:rsid w:val="00D81A38"/>
    <w:rsid w:val="00DC2187"/>
    <w:rsid w:val="00DC2965"/>
    <w:rsid w:val="00DC4AEE"/>
    <w:rsid w:val="00DD58E5"/>
    <w:rsid w:val="00DE0720"/>
    <w:rsid w:val="00DE086A"/>
    <w:rsid w:val="00E03CBE"/>
    <w:rsid w:val="00E078AF"/>
    <w:rsid w:val="00E11038"/>
    <w:rsid w:val="00E168DB"/>
    <w:rsid w:val="00E217A4"/>
    <w:rsid w:val="00E332B7"/>
    <w:rsid w:val="00E36BE9"/>
    <w:rsid w:val="00E71608"/>
    <w:rsid w:val="00E747B1"/>
    <w:rsid w:val="00E9443B"/>
    <w:rsid w:val="00E95A3A"/>
    <w:rsid w:val="00EA2427"/>
    <w:rsid w:val="00EE2241"/>
    <w:rsid w:val="00EF6171"/>
    <w:rsid w:val="00F07066"/>
    <w:rsid w:val="00F255C5"/>
    <w:rsid w:val="00F3397C"/>
    <w:rsid w:val="00F4139B"/>
    <w:rsid w:val="00F423DC"/>
    <w:rsid w:val="00F60D4F"/>
    <w:rsid w:val="00F71F95"/>
    <w:rsid w:val="00F81905"/>
    <w:rsid w:val="00F858CA"/>
    <w:rsid w:val="00F86E9F"/>
    <w:rsid w:val="00F873DE"/>
    <w:rsid w:val="00F87F4E"/>
    <w:rsid w:val="00F91631"/>
    <w:rsid w:val="00FA44A8"/>
    <w:rsid w:val="00FF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B5E4"/>
  <w15:chartTrackingRefBased/>
  <w15:docId w15:val="{3BEB084D-F399-4EEA-A944-E58DE854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5C"/>
    <w:pPr>
      <w:ind w:left="720"/>
    </w:pPr>
  </w:style>
  <w:style w:type="paragraph" w:customStyle="1" w:styleId="toa">
    <w:name w:val="toa"/>
    <w:rsid w:val="000D4061"/>
    <w:pPr>
      <w:tabs>
        <w:tab w:val="left" w:pos="0"/>
        <w:tab w:val="left" w:pos="9000"/>
        <w:tab w:val="right" w:pos="9360"/>
      </w:tabs>
      <w:suppressAutoHyphens/>
      <w:spacing w:after="0" w:line="240" w:lineRule="auto"/>
    </w:pPr>
    <w:rPr>
      <w:rFonts w:ascii="CG Times" w:eastAsia="Times New Roman" w:hAnsi="CG Times" w:cs="Times New Roman"/>
      <w:sz w:val="24"/>
      <w:szCs w:val="20"/>
    </w:rPr>
  </w:style>
  <w:style w:type="paragraph" w:styleId="FootnoteText">
    <w:name w:val="footnote text"/>
    <w:basedOn w:val="Normal"/>
    <w:link w:val="FootnoteTextChar"/>
    <w:semiHidden/>
    <w:unhideWhenUsed/>
    <w:rsid w:val="007A3F80"/>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A3F80"/>
    <w:rPr>
      <w:rFonts w:ascii="Arial" w:eastAsia="Times New Roman" w:hAnsi="Arial" w:cs="Times New Roman"/>
      <w:sz w:val="20"/>
      <w:szCs w:val="20"/>
    </w:rPr>
  </w:style>
  <w:style w:type="paragraph" w:styleId="BodyText">
    <w:name w:val="Body Text"/>
    <w:basedOn w:val="Normal"/>
    <w:link w:val="BodyTextChar"/>
    <w:unhideWhenUsed/>
    <w:rsid w:val="007A3F80"/>
    <w:pPr>
      <w:tabs>
        <w:tab w:val="left" w:pos="-720"/>
      </w:tabs>
      <w:suppressAutoHyphens/>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7A3F80"/>
    <w:rPr>
      <w:rFonts w:ascii="Arial" w:eastAsia="Times New Roman" w:hAnsi="Arial" w:cs="Times New Roman"/>
      <w:sz w:val="24"/>
      <w:szCs w:val="20"/>
    </w:rPr>
  </w:style>
  <w:style w:type="paragraph" w:styleId="BodyText2">
    <w:name w:val="Body Text 2"/>
    <w:basedOn w:val="Normal"/>
    <w:link w:val="BodyText2Char"/>
    <w:semiHidden/>
    <w:unhideWhenUsed/>
    <w:rsid w:val="007A3F80"/>
    <w:pPr>
      <w:suppressAutoHyphens/>
      <w:jc w:val="center"/>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7A3F80"/>
    <w:rPr>
      <w:rFonts w:ascii="Arial" w:eastAsia="Times New Roman" w:hAnsi="Arial" w:cs="Times New Roman"/>
      <w:sz w:val="24"/>
      <w:szCs w:val="20"/>
    </w:rPr>
  </w:style>
  <w:style w:type="character" w:styleId="FootnoteReference">
    <w:name w:val="footnote reference"/>
    <w:semiHidden/>
    <w:unhideWhenUsed/>
    <w:rsid w:val="007A3F80"/>
    <w:rPr>
      <w:vertAlign w:val="superscript"/>
    </w:rPr>
  </w:style>
  <w:style w:type="character" w:styleId="Hyperlink">
    <w:name w:val="Hyperlink"/>
    <w:basedOn w:val="DefaultParagraphFont"/>
    <w:uiPriority w:val="99"/>
    <w:unhideWhenUsed/>
    <w:rsid w:val="00866D0C"/>
    <w:rPr>
      <w:color w:val="0563C1" w:themeColor="hyperlink"/>
      <w:u w:val="single"/>
    </w:rPr>
  </w:style>
  <w:style w:type="character" w:styleId="UnresolvedMention">
    <w:name w:val="Unresolved Mention"/>
    <w:basedOn w:val="DefaultParagraphFont"/>
    <w:uiPriority w:val="99"/>
    <w:semiHidden/>
    <w:unhideWhenUsed/>
    <w:rsid w:val="00866D0C"/>
    <w:rPr>
      <w:color w:val="605E5C"/>
      <w:shd w:val="clear" w:color="auto" w:fill="E1DFDD"/>
    </w:rPr>
  </w:style>
  <w:style w:type="table" w:styleId="TableGrid">
    <w:name w:val="Table Grid"/>
    <w:basedOn w:val="TableNormal"/>
    <w:uiPriority w:val="39"/>
    <w:rsid w:val="00B1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3E97"/>
    <w:pPr>
      <w:spacing w:after="0" w:line="240" w:lineRule="auto"/>
    </w:pPr>
    <w:rPr>
      <w:rFonts w:ascii="Calibri" w:hAnsi="Calibri" w:cs="Calibri"/>
    </w:rPr>
  </w:style>
  <w:style w:type="paragraph" w:styleId="Header">
    <w:name w:val="header"/>
    <w:basedOn w:val="Normal"/>
    <w:link w:val="HeaderChar"/>
    <w:uiPriority w:val="99"/>
    <w:unhideWhenUsed/>
    <w:rsid w:val="001D1651"/>
    <w:pPr>
      <w:tabs>
        <w:tab w:val="center" w:pos="4680"/>
        <w:tab w:val="right" w:pos="9360"/>
      </w:tabs>
    </w:pPr>
  </w:style>
  <w:style w:type="character" w:customStyle="1" w:styleId="HeaderChar">
    <w:name w:val="Header Char"/>
    <w:basedOn w:val="DefaultParagraphFont"/>
    <w:link w:val="Header"/>
    <w:uiPriority w:val="99"/>
    <w:rsid w:val="001D1651"/>
    <w:rPr>
      <w:rFonts w:ascii="Calibri" w:hAnsi="Calibri" w:cs="Calibri"/>
    </w:rPr>
  </w:style>
  <w:style w:type="paragraph" w:styleId="Footer">
    <w:name w:val="footer"/>
    <w:basedOn w:val="Normal"/>
    <w:link w:val="FooterChar"/>
    <w:uiPriority w:val="99"/>
    <w:unhideWhenUsed/>
    <w:rsid w:val="001D1651"/>
    <w:pPr>
      <w:tabs>
        <w:tab w:val="center" w:pos="4680"/>
        <w:tab w:val="right" w:pos="9360"/>
      </w:tabs>
    </w:pPr>
  </w:style>
  <w:style w:type="character" w:customStyle="1" w:styleId="FooterChar">
    <w:name w:val="Footer Char"/>
    <w:basedOn w:val="DefaultParagraphFont"/>
    <w:link w:val="Footer"/>
    <w:uiPriority w:val="99"/>
    <w:rsid w:val="001D165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7431">
      <w:bodyDiv w:val="1"/>
      <w:marLeft w:val="0"/>
      <w:marRight w:val="0"/>
      <w:marTop w:val="0"/>
      <w:marBottom w:val="0"/>
      <w:divBdr>
        <w:top w:val="none" w:sz="0" w:space="0" w:color="auto"/>
        <w:left w:val="none" w:sz="0" w:space="0" w:color="auto"/>
        <w:bottom w:val="none" w:sz="0" w:space="0" w:color="auto"/>
        <w:right w:val="none" w:sz="0" w:space="0" w:color="auto"/>
      </w:divBdr>
    </w:div>
    <w:div w:id="1587182132">
      <w:bodyDiv w:val="1"/>
      <w:marLeft w:val="0"/>
      <w:marRight w:val="0"/>
      <w:marTop w:val="0"/>
      <w:marBottom w:val="0"/>
      <w:divBdr>
        <w:top w:val="none" w:sz="0" w:space="0" w:color="auto"/>
        <w:left w:val="none" w:sz="0" w:space="0" w:color="auto"/>
        <w:bottom w:val="none" w:sz="0" w:space="0" w:color="auto"/>
        <w:right w:val="none" w:sz="0" w:space="0" w:color="auto"/>
      </w:divBdr>
    </w:div>
    <w:div w:id="21431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592C-82B4-4600-B014-427CF6BD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Payton Jacobs</dc:creator>
  <cp:keywords/>
  <dc:description/>
  <cp:lastModifiedBy>Suzette Ortiz</cp:lastModifiedBy>
  <cp:revision>5</cp:revision>
  <cp:lastPrinted>2022-05-09T18:32:00Z</cp:lastPrinted>
  <dcterms:created xsi:type="dcterms:W3CDTF">2022-05-12T20:06:00Z</dcterms:created>
  <dcterms:modified xsi:type="dcterms:W3CDTF">2022-05-12T20:10:00Z</dcterms:modified>
</cp:coreProperties>
</file>